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创艺简魏碑"/>
          <w:b/>
          <w:bCs/>
          <w:color w:val="auto"/>
          <w:sz w:val="52"/>
          <w:szCs w:val="52"/>
          <w:highlight w:val="none"/>
        </w:rPr>
      </w:pPr>
    </w:p>
    <w:p>
      <w:pPr>
        <w:ind w:firstLine="435"/>
        <w:jc w:val="center"/>
        <w:rPr>
          <w:rFonts w:hint="eastAsia" w:ascii="Times New Roman" w:hAnsi="Times New Roman" w:eastAsia="黑体"/>
          <w:b/>
          <w:color w:val="auto"/>
          <w:sz w:val="52"/>
          <w:szCs w:val="52"/>
          <w:highlight w:val="none"/>
          <w:lang w:eastAsia="zh-CN"/>
        </w:rPr>
      </w:pPr>
      <w:r>
        <w:rPr>
          <w:rFonts w:hint="eastAsia" w:ascii="Times New Roman" w:hAnsi="Times New Roman" w:eastAsia="黑体"/>
          <w:b/>
          <w:color w:val="auto"/>
          <w:sz w:val="52"/>
          <w:szCs w:val="52"/>
          <w:highlight w:val="none"/>
          <w:lang w:eastAsia="zh-CN"/>
        </w:rPr>
        <w:t>株洲市清水塘老工业区产业新城整体开发项目清水塘大桥新建工程施工监理</w:t>
      </w:r>
    </w:p>
    <w:p>
      <w:pPr>
        <w:rPr>
          <w:rFonts w:ascii="Times New Roman" w:hAnsi="Times New Roman" w:eastAsia="创艺简魏碑"/>
          <w:b/>
          <w:bCs/>
          <w:color w:val="auto"/>
          <w:sz w:val="52"/>
          <w:szCs w:val="52"/>
          <w:highlight w:val="none"/>
        </w:rPr>
      </w:pPr>
    </w:p>
    <w:p>
      <w:pPr>
        <w:pStyle w:val="2"/>
        <w:ind w:firstLine="400"/>
        <w:rPr>
          <w:rFonts w:ascii="Times New Roman" w:hAnsi="Times New Roman"/>
          <w:color w:val="auto"/>
          <w:highlight w:val="none"/>
        </w:rPr>
      </w:pPr>
    </w:p>
    <w:p>
      <w:pPr>
        <w:ind w:firstLine="435"/>
        <w:jc w:val="center"/>
        <w:rPr>
          <w:rFonts w:ascii="Times New Roman" w:hAnsi="Times New Roman"/>
          <w:b/>
          <w:bCs/>
          <w:color w:val="auto"/>
          <w:sz w:val="72"/>
          <w:szCs w:val="72"/>
          <w:highlight w:val="none"/>
        </w:rPr>
      </w:pPr>
      <w:r>
        <w:rPr>
          <w:rFonts w:ascii="Times New Roman" w:hAnsi="Times New Roman"/>
          <w:b/>
          <w:bCs/>
          <w:color w:val="auto"/>
          <w:sz w:val="56"/>
          <w:szCs w:val="56"/>
          <w:highlight w:val="none"/>
        </w:rPr>
        <w:t>招标文件</w:t>
      </w:r>
    </w:p>
    <w:p>
      <w:pPr>
        <w:pStyle w:val="16"/>
        <w:ind w:right="0"/>
        <w:rPr>
          <w:rFonts w:ascii="Times New Roman" w:hAnsi="Times New Roman" w:eastAsia="创艺简魏碑"/>
          <w:color w:val="auto"/>
          <w:highlight w:val="none"/>
        </w:rPr>
      </w:pPr>
      <w:r>
        <w:rPr>
          <w:rFonts w:ascii="Times New Roman" w:hAnsi="Times New Roman"/>
          <w:b/>
          <w:bCs/>
          <w:color w:val="auto"/>
          <w:sz w:val="36"/>
          <w:szCs w:val="36"/>
          <w:highlight w:val="none"/>
        </w:rPr>
        <w:t>（招标编号：HNXQZZFGS-2019-GC-21</w:t>
      </w:r>
      <w:r>
        <w:rPr>
          <w:rFonts w:ascii="Times New Roman" w:hAnsi="Times New Roman" w:eastAsia="创艺简魏碑"/>
          <w:b/>
          <w:color w:val="auto"/>
          <w:highlight w:val="none"/>
        </w:rPr>
        <w:t>)</w:t>
      </w:r>
    </w:p>
    <w:p>
      <w:pPr>
        <w:rPr>
          <w:rFonts w:ascii="Times New Roman" w:hAnsi="Times New Roman" w:eastAsia="创艺简魏碑"/>
          <w:b/>
          <w:color w:val="auto"/>
          <w:sz w:val="32"/>
          <w:szCs w:val="32"/>
          <w:highlight w:val="none"/>
        </w:rPr>
      </w:pPr>
    </w:p>
    <w:p>
      <w:pPr>
        <w:rPr>
          <w:rFonts w:ascii="Times New Roman" w:hAnsi="Times New Roman" w:eastAsia="创艺简魏碑"/>
          <w:color w:val="auto"/>
          <w:highlight w:val="none"/>
        </w:rPr>
      </w:pPr>
    </w:p>
    <w:p>
      <w:pPr>
        <w:rPr>
          <w:rFonts w:ascii="Times New Roman" w:hAnsi="Times New Roman" w:eastAsia="创艺简魏碑"/>
          <w:color w:val="auto"/>
          <w:highlight w:val="none"/>
        </w:rPr>
      </w:pPr>
    </w:p>
    <w:p>
      <w:pPr>
        <w:spacing w:line="700" w:lineRule="exact"/>
        <w:rPr>
          <w:rFonts w:ascii="Times New Roman" w:hAnsi="Times New Roman" w:eastAsia="创艺简魏碑"/>
          <w:color w:val="auto"/>
          <w:sz w:val="30"/>
          <w:szCs w:val="30"/>
          <w:highlight w:val="none"/>
        </w:rPr>
      </w:pPr>
    </w:p>
    <w:p>
      <w:pPr>
        <w:spacing w:line="1000" w:lineRule="exact"/>
        <w:ind w:firstLine="1200" w:firstLineChars="400"/>
        <w:rPr>
          <w:rFonts w:ascii="Times New Roman" w:hAnsi="Times New Roman" w:eastAsia="创艺简魏碑"/>
          <w:b/>
          <w:bCs/>
          <w:color w:val="auto"/>
          <w:sz w:val="30"/>
          <w:szCs w:val="30"/>
          <w:highlight w:val="none"/>
        </w:rPr>
      </w:pPr>
      <w:r>
        <w:rPr>
          <w:rFonts w:ascii="Times New Roman" w:hAnsi="Times New Roman" w:eastAsia="创艺简魏碑"/>
          <w:b/>
          <w:bCs/>
          <w:color w:val="auto"/>
          <w:sz w:val="30"/>
          <w:szCs w:val="30"/>
          <w:highlight w:val="none"/>
        </w:rPr>
        <w:t>招标人：株洲市清水塘投资集团有限公司</w:t>
      </w:r>
    </w:p>
    <w:p>
      <w:pPr>
        <w:spacing w:line="1000" w:lineRule="exact"/>
        <w:ind w:firstLine="1200" w:firstLineChars="400"/>
        <w:rPr>
          <w:rFonts w:ascii="Times New Roman" w:hAnsi="Times New Roman" w:eastAsia="创艺简魏碑"/>
          <w:b/>
          <w:bCs/>
          <w:color w:val="auto"/>
          <w:sz w:val="30"/>
          <w:szCs w:val="30"/>
          <w:highlight w:val="none"/>
        </w:rPr>
      </w:pPr>
      <w:r>
        <w:rPr>
          <w:rFonts w:ascii="Times New Roman" w:hAnsi="Times New Roman" w:eastAsia="创艺简魏碑"/>
          <w:b/>
          <w:bCs/>
          <w:color w:val="auto"/>
          <w:sz w:val="30"/>
          <w:szCs w:val="30"/>
          <w:highlight w:val="none"/>
        </w:rPr>
        <w:t>招标代理机构：湖南新泉工程造价咨询有限公司</w:t>
      </w:r>
    </w:p>
    <w:p>
      <w:pPr>
        <w:spacing w:line="1000" w:lineRule="exact"/>
        <w:ind w:firstLine="1200" w:firstLineChars="400"/>
        <w:rPr>
          <w:rFonts w:ascii="Times New Roman" w:hAnsi="Times New Roman" w:eastAsia="创艺简魏碑"/>
          <w:b/>
          <w:bCs/>
          <w:color w:val="auto"/>
          <w:sz w:val="30"/>
          <w:szCs w:val="30"/>
          <w:highlight w:val="none"/>
        </w:rPr>
      </w:pPr>
      <w:r>
        <w:rPr>
          <w:rFonts w:ascii="Times New Roman" w:hAnsi="Times New Roman" w:eastAsia="创艺简魏碑"/>
          <w:b/>
          <w:bCs/>
          <w:color w:val="auto"/>
          <w:sz w:val="30"/>
          <w:szCs w:val="30"/>
          <w:highlight w:val="none"/>
        </w:rPr>
        <w:t>监督单位：株洲市住房和城乡建设局</w:t>
      </w:r>
    </w:p>
    <w:p>
      <w:pPr>
        <w:spacing w:line="1000" w:lineRule="exact"/>
        <w:ind w:firstLine="1200" w:firstLineChars="400"/>
        <w:rPr>
          <w:rFonts w:ascii="Times New Roman" w:hAnsi="Times New Roman" w:eastAsia="创艺简魏碑"/>
          <w:color w:val="auto"/>
          <w:sz w:val="32"/>
          <w:szCs w:val="32"/>
          <w:highlight w:val="none"/>
        </w:rPr>
      </w:pPr>
      <w:r>
        <w:rPr>
          <w:rFonts w:ascii="Times New Roman" w:hAnsi="Times New Roman" w:eastAsia="创艺简魏碑"/>
          <w:b/>
          <w:bCs/>
          <w:color w:val="auto"/>
          <w:sz w:val="30"/>
          <w:szCs w:val="30"/>
          <w:highlight w:val="none"/>
        </w:rPr>
        <w:t>日</w:t>
      </w:r>
      <w:r>
        <w:rPr>
          <w:rFonts w:ascii="Times New Roman" w:hAnsi="Times New Roman"/>
          <w:b/>
          <w:bCs/>
          <w:color w:val="auto"/>
          <w:sz w:val="30"/>
          <w:szCs w:val="30"/>
          <w:highlight w:val="none"/>
        </w:rPr>
        <w:t xml:space="preserve">    </w:t>
      </w:r>
      <w:r>
        <w:rPr>
          <w:rFonts w:ascii="Times New Roman" w:hAnsi="Times New Roman" w:eastAsia="创艺简魏碑"/>
          <w:b/>
          <w:bCs/>
          <w:color w:val="auto"/>
          <w:sz w:val="30"/>
          <w:szCs w:val="30"/>
          <w:highlight w:val="none"/>
        </w:rPr>
        <w:t>期：二</w:t>
      </w:r>
      <w:r>
        <w:rPr>
          <w:rFonts w:ascii="Times New Roman" w:hAnsi="Times New Roman"/>
          <w:b/>
          <w:bCs/>
          <w:color w:val="auto"/>
          <w:sz w:val="30"/>
          <w:szCs w:val="30"/>
          <w:highlight w:val="none"/>
        </w:rPr>
        <w:t>〇</w:t>
      </w:r>
      <w:r>
        <w:rPr>
          <w:rFonts w:ascii="Times New Roman" w:hAnsi="Times New Roman" w:eastAsia="创艺简魏碑"/>
          <w:b/>
          <w:bCs/>
          <w:color w:val="auto"/>
          <w:sz w:val="30"/>
          <w:szCs w:val="30"/>
          <w:highlight w:val="none"/>
        </w:rPr>
        <w:t>一九年</w:t>
      </w:r>
      <w:r>
        <w:rPr>
          <w:rFonts w:hint="eastAsia" w:ascii="Times New Roman" w:hAnsi="Times New Roman" w:eastAsia="创艺简魏碑"/>
          <w:b/>
          <w:bCs/>
          <w:color w:val="auto"/>
          <w:sz w:val="30"/>
          <w:szCs w:val="30"/>
          <w:highlight w:val="none"/>
        </w:rPr>
        <w:t>六</w:t>
      </w:r>
      <w:r>
        <w:rPr>
          <w:rFonts w:ascii="Times New Roman" w:hAnsi="Times New Roman" w:eastAsia="创艺简魏碑"/>
          <w:b/>
          <w:bCs/>
          <w:color w:val="auto"/>
          <w:sz w:val="30"/>
          <w:szCs w:val="30"/>
          <w:highlight w:val="none"/>
        </w:rPr>
        <w:t>月</w:t>
      </w:r>
    </w:p>
    <w:p>
      <w:pPr>
        <w:pStyle w:val="13"/>
        <w:jc w:val="both"/>
        <w:rPr>
          <w:rFonts w:ascii="Times New Roman" w:hAnsi="Times New Roman"/>
          <w:color w:val="auto"/>
          <w:sz w:val="36"/>
          <w:szCs w:val="36"/>
          <w:highlight w:val="none"/>
        </w:rPr>
        <w:sectPr>
          <w:headerReference r:id="rId5" w:type="first"/>
          <w:headerReference r:id="rId3" w:type="default"/>
          <w:footerReference r:id="rId6" w:type="default"/>
          <w:headerReference r:id="rId4" w:type="even"/>
          <w:footerReference r:id="rId7" w:type="even"/>
          <w:pgSz w:w="11907" w:h="16840"/>
          <w:pgMar w:top="1134" w:right="1134" w:bottom="1134" w:left="1134" w:header="851" w:footer="301" w:gutter="0"/>
          <w:pgNumType w:start="1"/>
          <w:cols w:space="720" w:num="1"/>
          <w:titlePg/>
          <w:docGrid w:type="linesAndChars" w:linePitch="312" w:charSpace="0"/>
        </w:sectPr>
      </w:pPr>
    </w:p>
    <w:p>
      <w:pPr>
        <w:pStyle w:val="13"/>
        <w:jc w:val="both"/>
        <w:rPr>
          <w:rFonts w:ascii="Times New Roman" w:hAnsi="Times New Roman"/>
          <w:color w:val="auto"/>
          <w:sz w:val="36"/>
          <w:szCs w:val="36"/>
          <w:highlight w:val="none"/>
        </w:rPr>
        <w:sectPr>
          <w:footerReference r:id="rId9" w:type="first"/>
          <w:footerReference r:id="rId8" w:type="default"/>
          <w:pgSz w:w="11907" w:h="16840"/>
          <w:pgMar w:top="1134" w:right="1134" w:bottom="1134" w:left="1134" w:header="851" w:footer="301" w:gutter="0"/>
          <w:pgNumType w:start="1"/>
          <w:cols w:space="720" w:num="1"/>
          <w:titlePg/>
          <w:docGrid w:type="linesAndChars" w:linePitch="312" w:charSpace="0"/>
        </w:sectPr>
      </w:pPr>
    </w:p>
    <w:p>
      <w:pPr>
        <w:pStyle w:val="13"/>
        <w:jc w:val="both"/>
        <w:rPr>
          <w:rFonts w:ascii="Times New Roman" w:hAnsi="Times New Roman"/>
          <w:color w:val="auto"/>
          <w:sz w:val="36"/>
          <w:szCs w:val="36"/>
          <w:highlight w:val="none"/>
        </w:rPr>
      </w:pPr>
    </w:p>
    <w:p>
      <w:pPr>
        <w:pStyle w:val="13"/>
        <w:rPr>
          <w:rFonts w:ascii="Times New Roman" w:hAnsi="Times New Roman"/>
          <w:b/>
          <w:color w:val="auto"/>
          <w:sz w:val="36"/>
          <w:szCs w:val="36"/>
          <w:highlight w:val="none"/>
        </w:rPr>
      </w:pPr>
      <w:r>
        <w:rPr>
          <w:rFonts w:ascii="Times New Roman" w:hAnsi="Times New Roman"/>
          <w:b/>
          <w:color w:val="auto"/>
          <w:sz w:val="36"/>
          <w:szCs w:val="36"/>
          <w:highlight w:val="none"/>
        </w:rPr>
        <w:t>总  目  录</w:t>
      </w:r>
    </w:p>
    <w:p>
      <w:pPr>
        <w:pStyle w:val="13"/>
        <w:rPr>
          <w:rFonts w:ascii="Times New Roman" w:hAnsi="Times New Roman"/>
          <w:color w:val="auto"/>
          <w:sz w:val="36"/>
          <w:szCs w:val="36"/>
          <w:highlight w:val="none"/>
        </w:rPr>
      </w:pPr>
    </w:p>
    <w:p>
      <w:pPr>
        <w:pStyle w:val="14"/>
        <w:spacing w:line="480" w:lineRule="auto"/>
        <w:rPr>
          <w:rFonts w:ascii="Times New Roman" w:hAnsi="Times New Roman"/>
          <w:bCs w:val="0"/>
          <w:color w:val="auto"/>
          <w:sz w:val="21"/>
          <w:szCs w:val="21"/>
          <w:highlight w:val="none"/>
        </w:rPr>
      </w:pPr>
      <w:r>
        <w:rPr>
          <w:rFonts w:ascii="Times New Roman" w:hAnsi="Times New Roman"/>
          <w:color w:val="auto"/>
          <w:sz w:val="21"/>
          <w:szCs w:val="21"/>
          <w:highlight w:val="none"/>
        </w:rPr>
        <w:fldChar w:fldCharType="begin"/>
      </w:r>
      <w:r>
        <w:rPr>
          <w:rFonts w:ascii="Times New Roman" w:hAnsi="Times New Roman"/>
          <w:color w:val="auto"/>
          <w:sz w:val="21"/>
          <w:szCs w:val="21"/>
          <w:highlight w:val="none"/>
        </w:rPr>
        <w:instrText xml:space="preserve"> TOC \o "1-3" \h \z </w:instrText>
      </w:r>
      <w:r>
        <w:rPr>
          <w:rFonts w:ascii="Times New Roman" w:hAnsi="Times New Roman"/>
          <w:color w:val="auto"/>
          <w:sz w:val="21"/>
          <w:szCs w:val="21"/>
          <w:highlight w:val="none"/>
        </w:rPr>
        <w:fldChar w:fldCharType="separate"/>
      </w:r>
      <w:r>
        <w:rPr>
          <w:color w:val="auto"/>
          <w:highlight w:val="none"/>
        </w:rPr>
        <w:fldChar w:fldCharType="begin"/>
      </w:r>
      <w:r>
        <w:rPr>
          <w:color w:val="auto"/>
          <w:highlight w:val="none"/>
        </w:rPr>
        <w:instrText xml:space="preserve"> HYPERLINK \l "_Toc509841360" </w:instrText>
      </w:r>
      <w:r>
        <w:rPr>
          <w:color w:val="auto"/>
          <w:highlight w:val="none"/>
        </w:rPr>
        <w:fldChar w:fldCharType="separate"/>
      </w:r>
      <w:r>
        <w:rPr>
          <w:rFonts w:ascii="Times New Roman" w:hAnsi="Times New Roman"/>
          <w:color w:val="auto"/>
          <w:kern w:val="0"/>
          <w:sz w:val="21"/>
          <w:szCs w:val="21"/>
          <w:highlight w:val="none"/>
        </w:rPr>
        <w:t>第一章  监理招标公告</w:t>
      </w:r>
      <w:r>
        <w:rPr>
          <w:rFonts w:ascii="Times New Roman" w:hAnsi="Times New Roman"/>
          <w:color w:val="auto"/>
          <w:sz w:val="21"/>
          <w:szCs w:val="21"/>
          <w:highlight w:val="none"/>
        </w:rPr>
        <w:tab/>
      </w:r>
      <w:r>
        <w:rPr>
          <w:rFonts w:ascii="Times New Roman" w:hAnsi="Times New Roman"/>
          <w:color w:val="auto"/>
          <w:sz w:val="21"/>
          <w:szCs w:val="21"/>
          <w:highlight w:val="none"/>
        </w:rPr>
        <w:fldChar w:fldCharType="begin"/>
      </w:r>
      <w:r>
        <w:rPr>
          <w:rFonts w:ascii="Times New Roman" w:hAnsi="Times New Roman"/>
          <w:color w:val="auto"/>
          <w:sz w:val="21"/>
          <w:szCs w:val="21"/>
          <w:highlight w:val="none"/>
        </w:rPr>
        <w:instrText xml:space="preserve"> PAGEREF _Toc509841360 \h </w:instrText>
      </w:r>
      <w:r>
        <w:rPr>
          <w:rFonts w:ascii="Times New Roman" w:hAnsi="Times New Roman"/>
          <w:color w:val="auto"/>
          <w:sz w:val="21"/>
          <w:szCs w:val="21"/>
          <w:highlight w:val="none"/>
        </w:rPr>
        <w:fldChar w:fldCharType="separate"/>
      </w:r>
      <w:r>
        <w:rPr>
          <w:rFonts w:ascii="Times New Roman" w:hAnsi="Times New Roman"/>
          <w:color w:val="auto"/>
          <w:sz w:val="21"/>
          <w:szCs w:val="21"/>
          <w:highlight w:val="none"/>
        </w:rPr>
        <w:t>- 1 -</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 xml:space="preserve">     </w:t>
      </w:r>
    </w:p>
    <w:p>
      <w:pPr>
        <w:pStyle w:val="14"/>
        <w:spacing w:line="480" w:lineRule="auto"/>
        <w:rPr>
          <w:rFonts w:ascii="Times New Roman" w:hAnsi="Times New Roman"/>
          <w:bCs w:val="0"/>
          <w:color w:val="auto"/>
          <w:sz w:val="21"/>
          <w:szCs w:val="21"/>
          <w:highlight w:val="none"/>
        </w:rPr>
      </w:pPr>
      <w:r>
        <w:rPr>
          <w:color w:val="auto"/>
          <w:highlight w:val="none"/>
        </w:rPr>
        <w:fldChar w:fldCharType="begin"/>
      </w:r>
      <w:r>
        <w:rPr>
          <w:color w:val="auto"/>
          <w:highlight w:val="none"/>
        </w:rPr>
        <w:instrText xml:space="preserve"> HYPERLINK \l "_Toc509841361" </w:instrText>
      </w:r>
      <w:r>
        <w:rPr>
          <w:color w:val="auto"/>
          <w:highlight w:val="none"/>
        </w:rPr>
        <w:fldChar w:fldCharType="separate"/>
      </w:r>
      <w:r>
        <w:rPr>
          <w:rFonts w:ascii="Times New Roman" w:hAnsi="Times New Roman"/>
          <w:color w:val="auto"/>
          <w:kern w:val="0"/>
          <w:sz w:val="21"/>
          <w:szCs w:val="21"/>
          <w:highlight w:val="none"/>
        </w:rPr>
        <w:t>第二章  投标须知及投标须知前附表</w:t>
      </w:r>
      <w:r>
        <w:rPr>
          <w:rFonts w:ascii="Times New Roman" w:hAnsi="Times New Roman"/>
          <w:color w:val="auto"/>
          <w:sz w:val="21"/>
          <w:szCs w:val="21"/>
          <w:highlight w:val="none"/>
        </w:rPr>
        <w:tab/>
      </w:r>
      <w:r>
        <w:rPr>
          <w:rFonts w:ascii="Times New Roman" w:hAnsi="Times New Roman"/>
          <w:color w:val="auto"/>
          <w:sz w:val="21"/>
          <w:szCs w:val="21"/>
          <w:highlight w:val="none"/>
        </w:rPr>
        <w:fldChar w:fldCharType="begin"/>
      </w:r>
      <w:r>
        <w:rPr>
          <w:rFonts w:ascii="Times New Roman" w:hAnsi="Times New Roman"/>
          <w:color w:val="auto"/>
          <w:sz w:val="21"/>
          <w:szCs w:val="21"/>
          <w:highlight w:val="none"/>
        </w:rPr>
        <w:instrText xml:space="preserve"> PAGEREF _Toc509841361 \h </w:instrText>
      </w:r>
      <w:r>
        <w:rPr>
          <w:rFonts w:ascii="Times New Roman" w:hAnsi="Times New Roman"/>
          <w:color w:val="auto"/>
          <w:sz w:val="21"/>
          <w:szCs w:val="21"/>
          <w:highlight w:val="none"/>
        </w:rPr>
        <w:fldChar w:fldCharType="separate"/>
      </w:r>
      <w:r>
        <w:rPr>
          <w:rFonts w:ascii="Times New Roman" w:hAnsi="Times New Roman"/>
          <w:color w:val="auto"/>
          <w:sz w:val="21"/>
          <w:szCs w:val="21"/>
          <w:highlight w:val="none"/>
        </w:rPr>
        <w:t>- 4 -</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 xml:space="preserve">     </w:t>
      </w:r>
    </w:p>
    <w:p>
      <w:pPr>
        <w:pStyle w:val="14"/>
        <w:spacing w:line="480" w:lineRule="auto"/>
        <w:rPr>
          <w:rFonts w:ascii="Times New Roman" w:hAnsi="Times New Roman"/>
          <w:bCs w:val="0"/>
          <w:color w:val="auto"/>
          <w:sz w:val="21"/>
          <w:szCs w:val="21"/>
          <w:highlight w:val="none"/>
        </w:rPr>
      </w:pPr>
      <w:r>
        <w:rPr>
          <w:color w:val="auto"/>
          <w:highlight w:val="none"/>
        </w:rPr>
        <w:fldChar w:fldCharType="begin"/>
      </w:r>
      <w:r>
        <w:rPr>
          <w:color w:val="auto"/>
          <w:highlight w:val="none"/>
        </w:rPr>
        <w:instrText xml:space="preserve"> HYPERLINK \l "_Toc509841362" </w:instrText>
      </w:r>
      <w:r>
        <w:rPr>
          <w:color w:val="auto"/>
          <w:highlight w:val="none"/>
        </w:rPr>
        <w:fldChar w:fldCharType="separate"/>
      </w:r>
      <w:r>
        <w:rPr>
          <w:rFonts w:ascii="Times New Roman" w:hAnsi="Times New Roman"/>
          <w:color w:val="auto"/>
          <w:kern w:val="0"/>
          <w:sz w:val="21"/>
          <w:szCs w:val="21"/>
          <w:highlight w:val="none"/>
        </w:rPr>
        <w:t>一、投标须知前附表</w:t>
      </w:r>
      <w:r>
        <w:rPr>
          <w:rFonts w:ascii="Times New Roman" w:hAnsi="Times New Roman"/>
          <w:color w:val="auto"/>
          <w:sz w:val="21"/>
          <w:szCs w:val="21"/>
          <w:highlight w:val="none"/>
        </w:rPr>
        <w:tab/>
      </w:r>
      <w:r>
        <w:rPr>
          <w:rFonts w:ascii="Times New Roman" w:hAnsi="Times New Roman"/>
          <w:color w:val="auto"/>
          <w:sz w:val="21"/>
          <w:szCs w:val="21"/>
          <w:highlight w:val="none"/>
        </w:rPr>
        <w:fldChar w:fldCharType="begin"/>
      </w:r>
      <w:r>
        <w:rPr>
          <w:rFonts w:ascii="Times New Roman" w:hAnsi="Times New Roman"/>
          <w:color w:val="auto"/>
          <w:sz w:val="21"/>
          <w:szCs w:val="21"/>
          <w:highlight w:val="none"/>
        </w:rPr>
        <w:instrText xml:space="preserve"> PAGEREF _Toc509841362 \h </w:instrText>
      </w:r>
      <w:r>
        <w:rPr>
          <w:rFonts w:ascii="Times New Roman" w:hAnsi="Times New Roman"/>
          <w:color w:val="auto"/>
          <w:sz w:val="21"/>
          <w:szCs w:val="21"/>
          <w:highlight w:val="none"/>
        </w:rPr>
        <w:fldChar w:fldCharType="separate"/>
      </w:r>
      <w:r>
        <w:rPr>
          <w:rFonts w:ascii="Times New Roman" w:hAnsi="Times New Roman"/>
          <w:color w:val="auto"/>
          <w:sz w:val="21"/>
          <w:szCs w:val="21"/>
          <w:highlight w:val="none"/>
        </w:rPr>
        <w:t>- 4 -</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 xml:space="preserve">     </w:t>
      </w:r>
    </w:p>
    <w:p>
      <w:pPr>
        <w:pStyle w:val="9"/>
        <w:wordWrap w:val="0"/>
        <w:spacing w:line="480" w:lineRule="auto"/>
        <w:ind w:left="0" w:leftChars="0" w:right="0" w:rightChars="0"/>
        <w:jc w:val="right"/>
        <w:rPr>
          <w:rFonts w:ascii="Times New Roman" w:hAnsi="Times New Roman"/>
          <w:color w:val="auto"/>
          <w:szCs w:val="21"/>
          <w:highlight w:val="none"/>
        </w:rPr>
      </w:pPr>
      <w:r>
        <w:rPr>
          <w:color w:val="auto"/>
          <w:highlight w:val="none"/>
        </w:rPr>
        <w:fldChar w:fldCharType="begin"/>
      </w:r>
      <w:r>
        <w:rPr>
          <w:color w:val="auto"/>
          <w:highlight w:val="none"/>
        </w:rPr>
        <w:instrText xml:space="preserve"> HYPERLINK \l "_Toc509841363" </w:instrText>
      </w:r>
      <w:r>
        <w:rPr>
          <w:color w:val="auto"/>
          <w:highlight w:val="none"/>
        </w:rPr>
        <w:fldChar w:fldCharType="separate"/>
      </w:r>
      <w:r>
        <w:rPr>
          <w:rFonts w:ascii="Times New Roman" w:hAnsi="Times New Roman"/>
          <w:color w:val="auto"/>
          <w:szCs w:val="21"/>
          <w:highlight w:val="none"/>
        </w:rPr>
        <w:t>（一）总则</w:t>
      </w:r>
      <w:r>
        <w:rPr>
          <w:rFonts w:ascii="Times New Roman" w:hAnsi="Times New Roman"/>
          <w:color w:val="auto"/>
          <w:szCs w:val="21"/>
          <w:highlight w:val="none"/>
        </w:rPr>
        <w:tab/>
      </w:r>
      <w:r>
        <w:rPr>
          <w:rFonts w:ascii="Times New Roman" w:hAnsi="Times New Roman"/>
          <w:color w:val="auto"/>
          <w:szCs w:val="21"/>
          <w:highlight w:val="none"/>
        </w:rPr>
        <w:fldChar w:fldCharType="begin"/>
      </w:r>
      <w:r>
        <w:rPr>
          <w:rFonts w:ascii="Times New Roman" w:hAnsi="Times New Roman"/>
          <w:color w:val="auto"/>
          <w:szCs w:val="21"/>
          <w:highlight w:val="none"/>
        </w:rPr>
        <w:instrText xml:space="preserve"> PAGEREF _Toc509841363 \h </w:instrText>
      </w:r>
      <w:r>
        <w:rPr>
          <w:rFonts w:ascii="Times New Roman" w:hAnsi="Times New Roman"/>
          <w:color w:val="auto"/>
          <w:szCs w:val="21"/>
          <w:highlight w:val="none"/>
        </w:rPr>
        <w:fldChar w:fldCharType="separate"/>
      </w:r>
      <w:r>
        <w:rPr>
          <w:rFonts w:ascii="Times New Roman" w:hAnsi="Times New Roman"/>
          <w:color w:val="auto"/>
          <w:szCs w:val="21"/>
          <w:highlight w:val="none"/>
        </w:rPr>
        <w:t>- 9 -</w:t>
      </w:r>
      <w:r>
        <w:rPr>
          <w:rFonts w:ascii="Times New Roman" w:hAnsi="Times New Roman"/>
          <w:color w:val="auto"/>
          <w:szCs w:val="21"/>
          <w:highlight w:val="none"/>
        </w:rPr>
        <w:fldChar w:fldCharType="end"/>
      </w:r>
      <w:r>
        <w:rPr>
          <w:rFonts w:ascii="Times New Roman" w:hAnsi="Times New Roman"/>
          <w:color w:val="auto"/>
          <w:szCs w:val="21"/>
          <w:highlight w:val="none"/>
        </w:rPr>
        <w:fldChar w:fldCharType="end"/>
      </w:r>
      <w:r>
        <w:rPr>
          <w:rFonts w:ascii="Times New Roman" w:hAnsi="Times New Roman"/>
          <w:color w:val="auto"/>
          <w:szCs w:val="21"/>
          <w:highlight w:val="none"/>
        </w:rPr>
        <w:t xml:space="preserve">     </w:t>
      </w:r>
    </w:p>
    <w:p>
      <w:pPr>
        <w:pStyle w:val="9"/>
        <w:wordWrap w:val="0"/>
        <w:spacing w:line="480" w:lineRule="auto"/>
        <w:ind w:left="0" w:leftChars="0" w:right="0" w:rightChars="0"/>
        <w:jc w:val="right"/>
        <w:rPr>
          <w:rFonts w:ascii="Times New Roman" w:hAnsi="Times New Roman"/>
          <w:color w:val="auto"/>
          <w:szCs w:val="21"/>
          <w:highlight w:val="none"/>
        </w:rPr>
      </w:pPr>
      <w:r>
        <w:rPr>
          <w:color w:val="auto"/>
          <w:highlight w:val="none"/>
        </w:rPr>
        <w:fldChar w:fldCharType="begin"/>
      </w:r>
      <w:r>
        <w:rPr>
          <w:color w:val="auto"/>
          <w:highlight w:val="none"/>
        </w:rPr>
        <w:instrText xml:space="preserve"> HYPERLINK \l "_Toc509841373" </w:instrText>
      </w:r>
      <w:r>
        <w:rPr>
          <w:color w:val="auto"/>
          <w:highlight w:val="none"/>
        </w:rPr>
        <w:fldChar w:fldCharType="separate"/>
      </w:r>
      <w:r>
        <w:rPr>
          <w:rFonts w:ascii="Times New Roman" w:hAnsi="Times New Roman"/>
          <w:color w:val="auto"/>
          <w:szCs w:val="21"/>
          <w:highlight w:val="none"/>
        </w:rPr>
        <w:t>（二）招标文件</w:t>
      </w:r>
      <w:r>
        <w:rPr>
          <w:rFonts w:ascii="Times New Roman" w:hAnsi="Times New Roman"/>
          <w:color w:val="auto"/>
          <w:szCs w:val="21"/>
          <w:highlight w:val="none"/>
        </w:rPr>
        <w:tab/>
      </w:r>
      <w:r>
        <w:rPr>
          <w:rFonts w:ascii="Times New Roman" w:hAnsi="Times New Roman"/>
          <w:color w:val="auto"/>
          <w:szCs w:val="21"/>
          <w:highlight w:val="none"/>
        </w:rPr>
        <w:fldChar w:fldCharType="begin"/>
      </w:r>
      <w:r>
        <w:rPr>
          <w:rFonts w:ascii="Times New Roman" w:hAnsi="Times New Roman"/>
          <w:color w:val="auto"/>
          <w:szCs w:val="21"/>
          <w:highlight w:val="none"/>
        </w:rPr>
        <w:instrText xml:space="preserve"> PAGEREF _Toc509841373 \h </w:instrText>
      </w:r>
      <w:r>
        <w:rPr>
          <w:rFonts w:ascii="Times New Roman" w:hAnsi="Times New Roman"/>
          <w:color w:val="auto"/>
          <w:szCs w:val="21"/>
          <w:highlight w:val="none"/>
        </w:rPr>
        <w:fldChar w:fldCharType="separate"/>
      </w:r>
      <w:r>
        <w:rPr>
          <w:rFonts w:ascii="Times New Roman" w:hAnsi="Times New Roman"/>
          <w:color w:val="auto"/>
          <w:szCs w:val="21"/>
          <w:highlight w:val="none"/>
        </w:rPr>
        <w:t>- 13 -</w:t>
      </w:r>
      <w:r>
        <w:rPr>
          <w:rFonts w:ascii="Times New Roman" w:hAnsi="Times New Roman"/>
          <w:color w:val="auto"/>
          <w:szCs w:val="21"/>
          <w:highlight w:val="none"/>
        </w:rPr>
        <w:fldChar w:fldCharType="end"/>
      </w:r>
      <w:r>
        <w:rPr>
          <w:rFonts w:ascii="Times New Roman" w:hAnsi="Times New Roman"/>
          <w:color w:val="auto"/>
          <w:szCs w:val="21"/>
          <w:highlight w:val="none"/>
        </w:rPr>
        <w:fldChar w:fldCharType="end"/>
      </w:r>
      <w:r>
        <w:rPr>
          <w:rFonts w:ascii="Times New Roman" w:hAnsi="Times New Roman"/>
          <w:color w:val="auto"/>
          <w:szCs w:val="21"/>
          <w:highlight w:val="none"/>
        </w:rPr>
        <w:t xml:space="preserve">     </w:t>
      </w:r>
    </w:p>
    <w:p>
      <w:pPr>
        <w:pStyle w:val="9"/>
        <w:wordWrap w:val="0"/>
        <w:spacing w:line="480" w:lineRule="auto"/>
        <w:ind w:left="0" w:leftChars="0" w:right="0" w:rightChars="0"/>
        <w:jc w:val="right"/>
        <w:rPr>
          <w:rFonts w:ascii="Times New Roman" w:hAnsi="Times New Roman"/>
          <w:color w:val="auto"/>
          <w:szCs w:val="21"/>
          <w:highlight w:val="none"/>
        </w:rPr>
      </w:pPr>
      <w:r>
        <w:rPr>
          <w:color w:val="auto"/>
          <w:highlight w:val="none"/>
        </w:rPr>
        <w:fldChar w:fldCharType="begin"/>
      </w:r>
      <w:r>
        <w:rPr>
          <w:color w:val="auto"/>
          <w:highlight w:val="none"/>
        </w:rPr>
        <w:instrText xml:space="preserve"> HYPERLINK \l "_Toc509841376" </w:instrText>
      </w:r>
      <w:r>
        <w:rPr>
          <w:color w:val="auto"/>
          <w:highlight w:val="none"/>
        </w:rPr>
        <w:fldChar w:fldCharType="separate"/>
      </w:r>
      <w:r>
        <w:rPr>
          <w:rFonts w:ascii="Times New Roman" w:hAnsi="Times New Roman"/>
          <w:color w:val="auto"/>
          <w:szCs w:val="21"/>
          <w:highlight w:val="none"/>
        </w:rPr>
        <w:t>（三）投标文件的编制</w:t>
      </w:r>
      <w:r>
        <w:rPr>
          <w:rFonts w:ascii="Times New Roman" w:hAnsi="Times New Roman"/>
          <w:color w:val="auto"/>
          <w:szCs w:val="21"/>
          <w:highlight w:val="none"/>
        </w:rPr>
        <w:tab/>
      </w:r>
      <w:r>
        <w:rPr>
          <w:rFonts w:ascii="Times New Roman" w:hAnsi="Times New Roman"/>
          <w:color w:val="auto"/>
          <w:szCs w:val="21"/>
          <w:highlight w:val="none"/>
        </w:rPr>
        <w:fldChar w:fldCharType="begin"/>
      </w:r>
      <w:r>
        <w:rPr>
          <w:rFonts w:ascii="Times New Roman" w:hAnsi="Times New Roman"/>
          <w:color w:val="auto"/>
          <w:szCs w:val="21"/>
          <w:highlight w:val="none"/>
        </w:rPr>
        <w:instrText xml:space="preserve"> PAGEREF _Toc509841376 \h </w:instrText>
      </w:r>
      <w:r>
        <w:rPr>
          <w:rFonts w:ascii="Times New Roman" w:hAnsi="Times New Roman"/>
          <w:color w:val="auto"/>
          <w:szCs w:val="21"/>
          <w:highlight w:val="none"/>
        </w:rPr>
        <w:fldChar w:fldCharType="separate"/>
      </w:r>
      <w:r>
        <w:rPr>
          <w:rFonts w:ascii="Times New Roman" w:hAnsi="Times New Roman"/>
          <w:color w:val="auto"/>
          <w:szCs w:val="21"/>
          <w:highlight w:val="none"/>
        </w:rPr>
        <w:t>- 14 -</w:t>
      </w:r>
      <w:r>
        <w:rPr>
          <w:rFonts w:ascii="Times New Roman" w:hAnsi="Times New Roman"/>
          <w:color w:val="auto"/>
          <w:szCs w:val="21"/>
          <w:highlight w:val="none"/>
        </w:rPr>
        <w:fldChar w:fldCharType="end"/>
      </w:r>
      <w:r>
        <w:rPr>
          <w:rFonts w:ascii="Times New Roman" w:hAnsi="Times New Roman"/>
          <w:color w:val="auto"/>
          <w:szCs w:val="21"/>
          <w:highlight w:val="none"/>
        </w:rPr>
        <w:fldChar w:fldCharType="end"/>
      </w:r>
      <w:r>
        <w:rPr>
          <w:rFonts w:ascii="Times New Roman" w:hAnsi="Times New Roman"/>
          <w:color w:val="auto"/>
          <w:szCs w:val="21"/>
          <w:highlight w:val="none"/>
        </w:rPr>
        <w:t xml:space="preserve">     </w:t>
      </w:r>
    </w:p>
    <w:p>
      <w:pPr>
        <w:pStyle w:val="9"/>
        <w:wordWrap w:val="0"/>
        <w:spacing w:line="480" w:lineRule="auto"/>
        <w:ind w:left="0" w:leftChars="0" w:right="0" w:rightChars="0"/>
        <w:jc w:val="right"/>
        <w:rPr>
          <w:rFonts w:ascii="Times New Roman" w:hAnsi="Times New Roman"/>
          <w:color w:val="auto"/>
          <w:szCs w:val="21"/>
          <w:highlight w:val="none"/>
        </w:rPr>
      </w:pPr>
      <w:r>
        <w:rPr>
          <w:color w:val="auto"/>
          <w:highlight w:val="none"/>
        </w:rPr>
        <w:fldChar w:fldCharType="begin"/>
      </w:r>
      <w:r>
        <w:rPr>
          <w:color w:val="auto"/>
          <w:highlight w:val="none"/>
        </w:rPr>
        <w:instrText xml:space="preserve"> HYPERLINK \l "_Toc509841385" </w:instrText>
      </w:r>
      <w:r>
        <w:rPr>
          <w:color w:val="auto"/>
          <w:highlight w:val="none"/>
        </w:rPr>
        <w:fldChar w:fldCharType="separate"/>
      </w:r>
      <w:r>
        <w:rPr>
          <w:rFonts w:ascii="Times New Roman" w:hAnsi="Times New Roman"/>
          <w:color w:val="auto"/>
          <w:szCs w:val="21"/>
          <w:highlight w:val="none"/>
        </w:rPr>
        <w:t>（四）投标文件的提交</w:t>
      </w:r>
      <w:r>
        <w:rPr>
          <w:rFonts w:ascii="Times New Roman" w:hAnsi="Times New Roman"/>
          <w:color w:val="auto"/>
          <w:szCs w:val="21"/>
          <w:highlight w:val="none"/>
        </w:rPr>
        <w:tab/>
      </w:r>
      <w:r>
        <w:rPr>
          <w:rFonts w:ascii="Times New Roman" w:hAnsi="Times New Roman"/>
          <w:color w:val="auto"/>
          <w:szCs w:val="21"/>
          <w:highlight w:val="none"/>
        </w:rPr>
        <w:fldChar w:fldCharType="begin"/>
      </w:r>
      <w:r>
        <w:rPr>
          <w:rFonts w:ascii="Times New Roman" w:hAnsi="Times New Roman"/>
          <w:color w:val="auto"/>
          <w:szCs w:val="21"/>
          <w:highlight w:val="none"/>
        </w:rPr>
        <w:instrText xml:space="preserve"> PAGEREF _Toc509841385 \h </w:instrText>
      </w:r>
      <w:r>
        <w:rPr>
          <w:rFonts w:ascii="Times New Roman" w:hAnsi="Times New Roman"/>
          <w:color w:val="auto"/>
          <w:szCs w:val="21"/>
          <w:highlight w:val="none"/>
        </w:rPr>
        <w:fldChar w:fldCharType="separate"/>
      </w:r>
      <w:r>
        <w:rPr>
          <w:rFonts w:ascii="Times New Roman" w:hAnsi="Times New Roman"/>
          <w:color w:val="auto"/>
          <w:szCs w:val="21"/>
          <w:highlight w:val="none"/>
        </w:rPr>
        <w:t>- 17 -</w:t>
      </w:r>
      <w:r>
        <w:rPr>
          <w:rFonts w:ascii="Times New Roman" w:hAnsi="Times New Roman"/>
          <w:color w:val="auto"/>
          <w:szCs w:val="21"/>
          <w:highlight w:val="none"/>
        </w:rPr>
        <w:fldChar w:fldCharType="end"/>
      </w:r>
      <w:r>
        <w:rPr>
          <w:rFonts w:ascii="Times New Roman" w:hAnsi="Times New Roman"/>
          <w:color w:val="auto"/>
          <w:szCs w:val="21"/>
          <w:highlight w:val="none"/>
        </w:rPr>
        <w:fldChar w:fldCharType="end"/>
      </w:r>
      <w:r>
        <w:rPr>
          <w:rFonts w:ascii="Times New Roman" w:hAnsi="Times New Roman"/>
          <w:color w:val="auto"/>
          <w:szCs w:val="21"/>
          <w:highlight w:val="none"/>
        </w:rPr>
        <w:t xml:space="preserve">     </w:t>
      </w:r>
    </w:p>
    <w:p>
      <w:pPr>
        <w:pStyle w:val="9"/>
        <w:wordWrap w:val="0"/>
        <w:spacing w:line="480" w:lineRule="auto"/>
        <w:ind w:left="0" w:leftChars="0" w:right="0" w:rightChars="0"/>
        <w:jc w:val="right"/>
        <w:rPr>
          <w:rFonts w:ascii="Times New Roman" w:hAnsi="Times New Roman"/>
          <w:color w:val="auto"/>
          <w:szCs w:val="21"/>
          <w:highlight w:val="none"/>
        </w:rPr>
      </w:pPr>
      <w:r>
        <w:rPr>
          <w:color w:val="auto"/>
          <w:highlight w:val="none"/>
        </w:rPr>
        <w:fldChar w:fldCharType="begin"/>
      </w:r>
      <w:r>
        <w:rPr>
          <w:color w:val="auto"/>
          <w:highlight w:val="none"/>
        </w:rPr>
        <w:instrText xml:space="preserve"> HYPERLINK \l "_Toc509841391" </w:instrText>
      </w:r>
      <w:r>
        <w:rPr>
          <w:color w:val="auto"/>
          <w:highlight w:val="none"/>
        </w:rPr>
        <w:fldChar w:fldCharType="separate"/>
      </w:r>
      <w:r>
        <w:rPr>
          <w:rFonts w:ascii="Times New Roman" w:hAnsi="Times New Roman"/>
          <w:color w:val="auto"/>
          <w:szCs w:val="21"/>
          <w:highlight w:val="none"/>
        </w:rPr>
        <w:t>（五）开标</w:t>
      </w:r>
      <w:r>
        <w:rPr>
          <w:rFonts w:ascii="Times New Roman" w:hAnsi="Times New Roman"/>
          <w:color w:val="auto"/>
          <w:szCs w:val="21"/>
          <w:highlight w:val="none"/>
        </w:rPr>
        <w:tab/>
      </w:r>
      <w:r>
        <w:rPr>
          <w:rFonts w:ascii="Times New Roman" w:hAnsi="Times New Roman"/>
          <w:color w:val="auto"/>
          <w:szCs w:val="21"/>
          <w:highlight w:val="none"/>
        </w:rPr>
        <w:fldChar w:fldCharType="begin"/>
      </w:r>
      <w:r>
        <w:rPr>
          <w:rFonts w:ascii="Times New Roman" w:hAnsi="Times New Roman"/>
          <w:color w:val="auto"/>
          <w:szCs w:val="21"/>
          <w:highlight w:val="none"/>
        </w:rPr>
        <w:instrText xml:space="preserve"> PAGEREF _Toc509841391 \h </w:instrText>
      </w:r>
      <w:r>
        <w:rPr>
          <w:rFonts w:ascii="Times New Roman" w:hAnsi="Times New Roman"/>
          <w:color w:val="auto"/>
          <w:szCs w:val="21"/>
          <w:highlight w:val="none"/>
        </w:rPr>
        <w:fldChar w:fldCharType="separate"/>
      </w:r>
      <w:r>
        <w:rPr>
          <w:rFonts w:ascii="Times New Roman" w:hAnsi="Times New Roman"/>
          <w:color w:val="auto"/>
          <w:szCs w:val="21"/>
          <w:highlight w:val="none"/>
        </w:rPr>
        <w:t>- 18 -</w:t>
      </w:r>
      <w:r>
        <w:rPr>
          <w:rFonts w:ascii="Times New Roman" w:hAnsi="Times New Roman"/>
          <w:color w:val="auto"/>
          <w:szCs w:val="21"/>
          <w:highlight w:val="none"/>
        </w:rPr>
        <w:fldChar w:fldCharType="end"/>
      </w:r>
      <w:r>
        <w:rPr>
          <w:rFonts w:ascii="Times New Roman" w:hAnsi="Times New Roman"/>
          <w:color w:val="auto"/>
          <w:szCs w:val="21"/>
          <w:highlight w:val="none"/>
        </w:rPr>
        <w:fldChar w:fldCharType="end"/>
      </w:r>
      <w:r>
        <w:rPr>
          <w:rFonts w:ascii="Times New Roman" w:hAnsi="Times New Roman"/>
          <w:color w:val="auto"/>
          <w:szCs w:val="21"/>
          <w:highlight w:val="none"/>
        </w:rPr>
        <w:t xml:space="preserve">     </w:t>
      </w:r>
    </w:p>
    <w:p>
      <w:pPr>
        <w:pStyle w:val="9"/>
        <w:wordWrap w:val="0"/>
        <w:spacing w:line="480" w:lineRule="auto"/>
        <w:ind w:left="0" w:leftChars="0" w:right="0" w:rightChars="0"/>
        <w:jc w:val="right"/>
        <w:rPr>
          <w:rFonts w:ascii="Times New Roman" w:hAnsi="Times New Roman"/>
          <w:color w:val="auto"/>
          <w:szCs w:val="21"/>
          <w:highlight w:val="none"/>
        </w:rPr>
      </w:pPr>
      <w:r>
        <w:rPr>
          <w:color w:val="auto"/>
          <w:highlight w:val="none"/>
        </w:rPr>
        <w:fldChar w:fldCharType="begin"/>
      </w:r>
      <w:r>
        <w:rPr>
          <w:color w:val="auto"/>
          <w:highlight w:val="none"/>
        </w:rPr>
        <w:instrText xml:space="preserve"> HYPERLINK \l "_Toc509841394" </w:instrText>
      </w:r>
      <w:r>
        <w:rPr>
          <w:color w:val="auto"/>
          <w:highlight w:val="none"/>
        </w:rPr>
        <w:fldChar w:fldCharType="separate"/>
      </w:r>
      <w:r>
        <w:rPr>
          <w:rFonts w:ascii="Times New Roman" w:hAnsi="Times New Roman"/>
          <w:color w:val="auto"/>
          <w:szCs w:val="21"/>
          <w:highlight w:val="none"/>
        </w:rPr>
        <w:t>（六）评标</w:t>
      </w:r>
      <w:r>
        <w:rPr>
          <w:rFonts w:ascii="Times New Roman" w:hAnsi="Times New Roman"/>
          <w:color w:val="auto"/>
          <w:szCs w:val="21"/>
          <w:highlight w:val="none"/>
        </w:rPr>
        <w:tab/>
      </w:r>
      <w:r>
        <w:rPr>
          <w:rFonts w:ascii="Times New Roman" w:hAnsi="Times New Roman"/>
          <w:color w:val="auto"/>
          <w:szCs w:val="21"/>
          <w:highlight w:val="none"/>
        </w:rPr>
        <w:fldChar w:fldCharType="begin"/>
      </w:r>
      <w:r>
        <w:rPr>
          <w:rFonts w:ascii="Times New Roman" w:hAnsi="Times New Roman"/>
          <w:color w:val="auto"/>
          <w:szCs w:val="21"/>
          <w:highlight w:val="none"/>
        </w:rPr>
        <w:instrText xml:space="preserve"> PAGEREF _Toc509841394 \h </w:instrText>
      </w:r>
      <w:r>
        <w:rPr>
          <w:rFonts w:ascii="Times New Roman" w:hAnsi="Times New Roman"/>
          <w:color w:val="auto"/>
          <w:szCs w:val="21"/>
          <w:highlight w:val="none"/>
        </w:rPr>
        <w:fldChar w:fldCharType="separate"/>
      </w:r>
      <w:r>
        <w:rPr>
          <w:rFonts w:ascii="Times New Roman" w:hAnsi="Times New Roman"/>
          <w:color w:val="auto"/>
          <w:szCs w:val="21"/>
          <w:highlight w:val="none"/>
        </w:rPr>
        <w:t>- 20 -</w:t>
      </w:r>
      <w:r>
        <w:rPr>
          <w:rFonts w:ascii="Times New Roman" w:hAnsi="Times New Roman"/>
          <w:color w:val="auto"/>
          <w:szCs w:val="21"/>
          <w:highlight w:val="none"/>
        </w:rPr>
        <w:fldChar w:fldCharType="end"/>
      </w:r>
      <w:r>
        <w:rPr>
          <w:rFonts w:ascii="Times New Roman" w:hAnsi="Times New Roman"/>
          <w:color w:val="auto"/>
          <w:szCs w:val="21"/>
          <w:highlight w:val="none"/>
        </w:rPr>
        <w:fldChar w:fldCharType="end"/>
      </w:r>
      <w:r>
        <w:rPr>
          <w:rFonts w:ascii="Times New Roman" w:hAnsi="Times New Roman"/>
          <w:color w:val="auto"/>
          <w:szCs w:val="21"/>
          <w:highlight w:val="none"/>
        </w:rPr>
        <w:t xml:space="preserve">     </w:t>
      </w:r>
    </w:p>
    <w:p>
      <w:pPr>
        <w:pStyle w:val="9"/>
        <w:wordWrap w:val="0"/>
        <w:spacing w:line="480" w:lineRule="auto"/>
        <w:ind w:left="0" w:leftChars="0" w:right="0" w:rightChars="0"/>
        <w:jc w:val="right"/>
        <w:rPr>
          <w:rFonts w:ascii="Times New Roman" w:hAnsi="Times New Roman"/>
          <w:color w:val="auto"/>
          <w:szCs w:val="21"/>
          <w:highlight w:val="none"/>
        </w:rPr>
      </w:pPr>
      <w:r>
        <w:rPr>
          <w:color w:val="auto"/>
          <w:highlight w:val="none"/>
        </w:rPr>
        <w:fldChar w:fldCharType="begin"/>
      </w:r>
      <w:r>
        <w:rPr>
          <w:color w:val="auto"/>
          <w:highlight w:val="none"/>
        </w:rPr>
        <w:instrText xml:space="preserve"> HYPERLINK \l "_Toc509841397" </w:instrText>
      </w:r>
      <w:r>
        <w:rPr>
          <w:color w:val="auto"/>
          <w:highlight w:val="none"/>
        </w:rPr>
        <w:fldChar w:fldCharType="separate"/>
      </w:r>
      <w:r>
        <w:rPr>
          <w:rFonts w:ascii="Times New Roman" w:hAnsi="Times New Roman"/>
          <w:color w:val="auto"/>
          <w:szCs w:val="21"/>
          <w:highlight w:val="none"/>
        </w:rPr>
        <w:t>（七）合同的授予</w:t>
      </w:r>
      <w:r>
        <w:rPr>
          <w:rFonts w:ascii="Times New Roman" w:hAnsi="Times New Roman"/>
          <w:color w:val="auto"/>
          <w:szCs w:val="21"/>
          <w:highlight w:val="none"/>
        </w:rPr>
        <w:tab/>
      </w:r>
      <w:r>
        <w:rPr>
          <w:rFonts w:ascii="Times New Roman" w:hAnsi="Times New Roman"/>
          <w:color w:val="auto"/>
          <w:szCs w:val="21"/>
          <w:highlight w:val="none"/>
        </w:rPr>
        <w:fldChar w:fldCharType="begin"/>
      </w:r>
      <w:r>
        <w:rPr>
          <w:rFonts w:ascii="Times New Roman" w:hAnsi="Times New Roman"/>
          <w:color w:val="auto"/>
          <w:szCs w:val="21"/>
          <w:highlight w:val="none"/>
        </w:rPr>
        <w:instrText xml:space="preserve"> PAGEREF _Toc509841397 \h </w:instrText>
      </w:r>
      <w:r>
        <w:rPr>
          <w:rFonts w:ascii="Times New Roman" w:hAnsi="Times New Roman"/>
          <w:color w:val="auto"/>
          <w:szCs w:val="21"/>
          <w:highlight w:val="none"/>
        </w:rPr>
        <w:fldChar w:fldCharType="separate"/>
      </w:r>
      <w:r>
        <w:rPr>
          <w:rFonts w:ascii="Times New Roman" w:hAnsi="Times New Roman"/>
          <w:color w:val="auto"/>
          <w:szCs w:val="21"/>
          <w:highlight w:val="none"/>
        </w:rPr>
        <w:t>- 21 -</w:t>
      </w:r>
      <w:r>
        <w:rPr>
          <w:rFonts w:ascii="Times New Roman" w:hAnsi="Times New Roman"/>
          <w:color w:val="auto"/>
          <w:szCs w:val="21"/>
          <w:highlight w:val="none"/>
        </w:rPr>
        <w:fldChar w:fldCharType="end"/>
      </w:r>
      <w:r>
        <w:rPr>
          <w:rFonts w:ascii="Times New Roman" w:hAnsi="Times New Roman"/>
          <w:color w:val="auto"/>
          <w:szCs w:val="21"/>
          <w:highlight w:val="none"/>
        </w:rPr>
        <w:fldChar w:fldCharType="end"/>
      </w:r>
      <w:r>
        <w:rPr>
          <w:rFonts w:ascii="Times New Roman" w:hAnsi="Times New Roman"/>
          <w:color w:val="auto"/>
          <w:szCs w:val="21"/>
          <w:highlight w:val="none"/>
        </w:rPr>
        <w:t xml:space="preserve">     </w:t>
      </w:r>
    </w:p>
    <w:p>
      <w:pPr>
        <w:pStyle w:val="14"/>
        <w:spacing w:line="480" w:lineRule="auto"/>
        <w:rPr>
          <w:rFonts w:ascii="Times New Roman" w:hAnsi="Times New Roman"/>
          <w:bCs w:val="0"/>
          <w:color w:val="auto"/>
          <w:sz w:val="21"/>
          <w:szCs w:val="21"/>
          <w:highlight w:val="none"/>
        </w:rPr>
      </w:pPr>
      <w:r>
        <w:rPr>
          <w:color w:val="auto"/>
          <w:highlight w:val="none"/>
        </w:rPr>
        <w:fldChar w:fldCharType="begin"/>
      </w:r>
      <w:r>
        <w:rPr>
          <w:color w:val="auto"/>
          <w:highlight w:val="none"/>
        </w:rPr>
        <w:instrText xml:space="preserve"> HYPERLINK \l "_Toc509841406" </w:instrText>
      </w:r>
      <w:r>
        <w:rPr>
          <w:color w:val="auto"/>
          <w:highlight w:val="none"/>
        </w:rPr>
        <w:fldChar w:fldCharType="separate"/>
      </w:r>
      <w:r>
        <w:rPr>
          <w:rFonts w:ascii="Times New Roman" w:hAnsi="Times New Roman"/>
          <w:color w:val="auto"/>
          <w:kern w:val="0"/>
          <w:sz w:val="21"/>
          <w:szCs w:val="21"/>
          <w:highlight w:val="none"/>
        </w:rPr>
        <w:t>第三章   合同条款</w:t>
      </w:r>
      <w:r>
        <w:rPr>
          <w:rFonts w:ascii="Times New Roman" w:hAnsi="Times New Roman"/>
          <w:color w:val="auto"/>
          <w:sz w:val="21"/>
          <w:szCs w:val="21"/>
          <w:highlight w:val="none"/>
        </w:rPr>
        <w:tab/>
      </w:r>
      <w:r>
        <w:rPr>
          <w:rFonts w:ascii="Times New Roman" w:hAnsi="Times New Roman"/>
          <w:color w:val="auto"/>
          <w:sz w:val="21"/>
          <w:szCs w:val="21"/>
          <w:highlight w:val="none"/>
        </w:rPr>
        <w:fldChar w:fldCharType="begin"/>
      </w:r>
      <w:r>
        <w:rPr>
          <w:rFonts w:ascii="Times New Roman" w:hAnsi="Times New Roman"/>
          <w:color w:val="auto"/>
          <w:sz w:val="21"/>
          <w:szCs w:val="21"/>
          <w:highlight w:val="none"/>
        </w:rPr>
        <w:instrText xml:space="preserve"> PAGEREF _Toc509841406 \h </w:instrText>
      </w:r>
      <w:r>
        <w:rPr>
          <w:rFonts w:ascii="Times New Roman" w:hAnsi="Times New Roman"/>
          <w:color w:val="auto"/>
          <w:sz w:val="21"/>
          <w:szCs w:val="21"/>
          <w:highlight w:val="none"/>
        </w:rPr>
        <w:fldChar w:fldCharType="separate"/>
      </w:r>
      <w:r>
        <w:rPr>
          <w:rFonts w:ascii="Times New Roman" w:hAnsi="Times New Roman"/>
          <w:color w:val="auto"/>
          <w:sz w:val="21"/>
          <w:szCs w:val="21"/>
          <w:highlight w:val="none"/>
        </w:rPr>
        <w:t>- 22 -</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 xml:space="preserve">     </w:t>
      </w:r>
    </w:p>
    <w:p>
      <w:pPr>
        <w:pStyle w:val="14"/>
        <w:spacing w:line="480" w:lineRule="auto"/>
        <w:rPr>
          <w:rFonts w:ascii="Times New Roman" w:hAnsi="Times New Roman"/>
          <w:bCs w:val="0"/>
          <w:color w:val="auto"/>
          <w:sz w:val="21"/>
          <w:szCs w:val="21"/>
          <w:highlight w:val="none"/>
        </w:rPr>
      </w:pPr>
      <w:r>
        <w:rPr>
          <w:color w:val="auto"/>
          <w:highlight w:val="none"/>
        </w:rPr>
        <w:fldChar w:fldCharType="begin"/>
      </w:r>
      <w:r>
        <w:rPr>
          <w:color w:val="auto"/>
          <w:highlight w:val="none"/>
        </w:rPr>
        <w:instrText xml:space="preserve"> HYPERLINK \l "_Toc509841407" </w:instrText>
      </w:r>
      <w:r>
        <w:rPr>
          <w:color w:val="auto"/>
          <w:highlight w:val="none"/>
        </w:rPr>
        <w:fldChar w:fldCharType="separate"/>
      </w:r>
      <w:r>
        <w:rPr>
          <w:rFonts w:ascii="Times New Roman" w:hAnsi="Times New Roman"/>
          <w:color w:val="auto"/>
          <w:kern w:val="0"/>
          <w:sz w:val="21"/>
          <w:szCs w:val="21"/>
          <w:highlight w:val="none"/>
        </w:rPr>
        <w:t>第四章  投标文件的格式</w:t>
      </w:r>
      <w:r>
        <w:rPr>
          <w:rFonts w:ascii="Times New Roman" w:hAnsi="Times New Roman"/>
          <w:color w:val="auto"/>
          <w:sz w:val="21"/>
          <w:szCs w:val="21"/>
          <w:highlight w:val="none"/>
        </w:rPr>
        <w:tab/>
      </w:r>
      <w:r>
        <w:rPr>
          <w:rFonts w:ascii="Times New Roman" w:hAnsi="Times New Roman"/>
          <w:color w:val="auto"/>
          <w:sz w:val="21"/>
          <w:szCs w:val="21"/>
          <w:highlight w:val="none"/>
        </w:rPr>
        <w:fldChar w:fldCharType="begin"/>
      </w:r>
      <w:r>
        <w:rPr>
          <w:rFonts w:ascii="Times New Roman" w:hAnsi="Times New Roman"/>
          <w:color w:val="auto"/>
          <w:sz w:val="21"/>
          <w:szCs w:val="21"/>
          <w:highlight w:val="none"/>
        </w:rPr>
        <w:instrText xml:space="preserve"> PAGEREF _Toc509841407 \h </w:instrText>
      </w:r>
      <w:r>
        <w:rPr>
          <w:rFonts w:ascii="Times New Roman" w:hAnsi="Times New Roman"/>
          <w:color w:val="auto"/>
          <w:sz w:val="21"/>
          <w:szCs w:val="21"/>
          <w:highlight w:val="none"/>
        </w:rPr>
        <w:fldChar w:fldCharType="separate"/>
      </w:r>
      <w:r>
        <w:rPr>
          <w:rFonts w:ascii="Times New Roman" w:hAnsi="Times New Roman"/>
          <w:color w:val="auto"/>
          <w:sz w:val="21"/>
          <w:szCs w:val="21"/>
          <w:highlight w:val="none"/>
        </w:rPr>
        <w:t>- 46 -</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 xml:space="preserve">     </w:t>
      </w:r>
    </w:p>
    <w:p>
      <w:pPr>
        <w:pStyle w:val="14"/>
        <w:spacing w:line="480" w:lineRule="auto"/>
        <w:rPr>
          <w:rFonts w:ascii="Times New Roman" w:hAnsi="Times New Roman"/>
          <w:bCs w:val="0"/>
          <w:color w:val="auto"/>
          <w:sz w:val="21"/>
          <w:szCs w:val="21"/>
          <w:highlight w:val="none"/>
        </w:rPr>
      </w:pPr>
      <w:r>
        <w:rPr>
          <w:color w:val="auto"/>
          <w:highlight w:val="none"/>
        </w:rPr>
        <w:fldChar w:fldCharType="begin"/>
      </w:r>
      <w:r>
        <w:rPr>
          <w:color w:val="auto"/>
          <w:highlight w:val="none"/>
        </w:rPr>
        <w:instrText xml:space="preserve"> HYPERLINK \l "_Toc509841419" </w:instrText>
      </w:r>
      <w:r>
        <w:rPr>
          <w:color w:val="auto"/>
          <w:highlight w:val="none"/>
        </w:rPr>
        <w:fldChar w:fldCharType="separate"/>
      </w:r>
      <w:r>
        <w:rPr>
          <w:rFonts w:ascii="Times New Roman" w:hAnsi="Times New Roman"/>
          <w:color w:val="auto"/>
          <w:kern w:val="0"/>
          <w:sz w:val="21"/>
          <w:szCs w:val="21"/>
          <w:highlight w:val="none"/>
        </w:rPr>
        <w:t>第五章 技术规范</w:t>
      </w:r>
      <w:r>
        <w:rPr>
          <w:rFonts w:ascii="Times New Roman" w:hAnsi="Times New Roman"/>
          <w:color w:val="auto"/>
          <w:sz w:val="21"/>
          <w:szCs w:val="21"/>
          <w:highlight w:val="none"/>
        </w:rPr>
        <w:tab/>
      </w:r>
      <w:r>
        <w:rPr>
          <w:rFonts w:ascii="Times New Roman" w:hAnsi="Times New Roman"/>
          <w:color w:val="auto"/>
          <w:sz w:val="21"/>
          <w:szCs w:val="21"/>
          <w:highlight w:val="none"/>
        </w:rPr>
        <w:fldChar w:fldCharType="begin"/>
      </w:r>
      <w:r>
        <w:rPr>
          <w:rFonts w:ascii="Times New Roman" w:hAnsi="Times New Roman"/>
          <w:color w:val="auto"/>
          <w:sz w:val="21"/>
          <w:szCs w:val="21"/>
          <w:highlight w:val="none"/>
        </w:rPr>
        <w:instrText xml:space="preserve"> PAGEREF _Toc509841419 \h </w:instrText>
      </w:r>
      <w:r>
        <w:rPr>
          <w:rFonts w:ascii="Times New Roman" w:hAnsi="Times New Roman"/>
          <w:color w:val="auto"/>
          <w:sz w:val="21"/>
          <w:szCs w:val="21"/>
          <w:highlight w:val="none"/>
        </w:rPr>
        <w:fldChar w:fldCharType="separate"/>
      </w:r>
      <w:r>
        <w:rPr>
          <w:rFonts w:ascii="Times New Roman" w:hAnsi="Times New Roman"/>
          <w:color w:val="auto"/>
          <w:sz w:val="21"/>
          <w:szCs w:val="21"/>
          <w:highlight w:val="none"/>
        </w:rPr>
        <w:t>59</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 xml:space="preserve">     </w:t>
      </w:r>
    </w:p>
    <w:p>
      <w:pPr>
        <w:pStyle w:val="14"/>
        <w:spacing w:line="480" w:lineRule="auto"/>
        <w:rPr>
          <w:rFonts w:ascii="Times New Roman" w:hAnsi="Times New Roman"/>
          <w:bCs w:val="0"/>
          <w:color w:val="auto"/>
          <w:sz w:val="21"/>
          <w:szCs w:val="21"/>
          <w:highlight w:val="none"/>
        </w:rPr>
      </w:pPr>
      <w:r>
        <w:rPr>
          <w:color w:val="auto"/>
          <w:highlight w:val="none"/>
        </w:rPr>
        <w:fldChar w:fldCharType="begin"/>
      </w:r>
      <w:r>
        <w:rPr>
          <w:color w:val="auto"/>
          <w:highlight w:val="none"/>
        </w:rPr>
        <w:instrText xml:space="preserve"> HYPERLINK \l "_Toc509841420" </w:instrText>
      </w:r>
      <w:r>
        <w:rPr>
          <w:color w:val="auto"/>
          <w:highlight w:val="none"/>
        </w:rPr>
        <w:fldChar w:fldCharType="separate"/>
      </w:r>
      <w:r>
        <w:rPr>
          <w:rFonts w:ascii="Times New Roman" w:hAnsi="Times New Roman"/>
          <w:color w:val="auto"/>
          <w:sz w:val="21"/>
          <w:szCs w:val="21"/>
          <w:highlight w:val="none"/>
        </w:rPr>
        <w:t>第六章  评标办法</w:t>
      </w:r>
      <w:r>
        <w:rPr>
          <w:rFonts w:ascii="Times New Roman" w:hAnsi="Times New Roman"/>
          <w:color w:val="auto"/>
          <w:sz w:val="21"/>
          <w:szCs w:val="21"/>
          <w:highlight w:val="none"/>
        </w:rPr>
        <w:tab/>
      </w:r>
      <w:r>
        <w:rPr>
          <w:rFonts w:ascii="Times New Roman" w:hAnsi="Times New Roman"/>
          <w:color w:val="auto"/>
          <w:sz w:val="21"/>
          <w:szCs w:val="21"/>
          <w:highlight w:val="none"/>
        </w:rPr>
        <w:fldChar w:fldCharType="begin"/>
      </w:r>
      <w:r>
        <w:rPr>
          <w:rFonts w:ascii="Times New Roman" w:hAnsi="Times New Roman"/>
          <w:color w:val="auto"/>
          <w:sz w:val="21"/>
          <w:szCs w:val="21"/>
          <w:highlight w:val="none"/>
        </w:rPr>
        <w:instrText xml:space="preserve"> PAGEREF _Toc509841420 \h </w:instrText>
      </w:r>
      <w:r>
        <w:rPr>
          <w:rFonts w:ascii="Times New Roman" w:hAnsi="Times New Roman"/>
          <w:color w:val="auto"/>
          <w:sz w:val="21"/>
          <w:szCs w:val="21"/>
          <w:highlight w:val="none"/>
        </w:rPr>
        <w:fldChar w:fldCharType="separate"/>
      </w:r>
      <w:r>
        <w:rPr>
          <w:rFonts w:ascii="Times New Roman" w:hAnsi="Times New Roman"/>
          <w:color w:val="auto"/>
          <w:sz w:val="21"/>
          <w:szCs w:val="21"/>
          <w:highlight w:val="none"/>
        </w:rPr>
        <w:t>- 60 -</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 xml:space="preserve">     </w:t>
      </w:r>
    </w:p>
    <w:p>
      <w:pPr>
        <w:pStyle w:val="14"/>
        <w:spacing w:line="480" w:lineRule="auto"/>
        <w:rPr>
          <w:rFonts w:ascii="Times New Roman" w:hAnsi="Times New Roman"/>
          <w:bCs w:val="0"/>
          <w:color w:val="auto"/>
          <w:sz w:val="21"/>
          <w:szCs w:val="21"/>
          <w:highlight w:val="none"/>
        </w:rPr>
      </w:pPr>
      <w:r>
        <w:rPr>
          <w:color w:val="auto"/>
          <w:highlight w:val="none"/>
        </w:rPr>
        <w:fldChar w:fldCharType="begin"/>
      </w:r>
      <w:r>
        <w:rPr>
          <w:color w:val="auto"/>
          <w:highlight w:val="none"/>
        </w:rPr>
        <w:instrText xml:space="preserve"> HYPERLINK \l "_Toc509841421" </w:instrText>
      </w:r>
      <w:r>
        <w:rPr>
          <w:color w:val="auto"/>
          <w:highlight w:val="none"/>
        </w:rPr>
        <w:fldChar w:fldCharType="separate"/>
      </w:r>
      <w:r>
        <w:rPr>
          <w:rFonts w:ascii="Times New Roman" w:hAnsi="Times New Roman"/>
          <w:color w:val="auto"/>
          <w:sz w:val="21"/>
          <w:szCs w:val="21"/>
          <w:highlight w:val="none"/>
        </w:rPr>
        <w:t>第七章  废标条款</w:t>
      </w:r>
      <w:r>
        <w:rPr>
          <w:rFonts w:ascii="Times New Roman" w:hAnsi="Times New Roman"/>
          <w:color w:val="auto"/>
          <w:sz w:val="21"/>
          <w:szCs w:val="21"/>
          <w:highlight w:val="none"/>
        </w:rPr>
        <w:tab/>
      </w:r>
      <w:r>
        <w:rPr>
          <w:rFonts w:ascii="Times New Roman" w:hAnsi="Times New Roman"/>
          <w:color w:val="auto"/>
          <w:sz w:val="21"/>
          <w:szCs w:val="21"/>
          <w:highlight w:val="none"/>
        </w:rPr>
        <w:fldChar w:fldCharType="begin"/>
      </w:r>
      <w:r>
        <w:rPr>
          <w:rFonts w:ascii="Times New Roman" w:hAnsi="Times New Roman"/>
          <w:color w:val="auto"/>
          <w:sz w:val="21"/>
          <w:szCs w:val="21"/>
          <w:highlight w:val="none"/>
        </w:rPr>
        <w:instrText xml:space="preserve"> PAGEREF _Toc509841421 \h </w:instrText>
      </w:r>
      <w:r>
        <w:rPr>
          <w:rFonts w:ascii="Times New Roman" w:hAnsi="Times New Roman"/>
          <w:color w:val="auto"/>
          <w:sz w:val="21"/>
          <w:szCs w:val="21"/>
          <w:highlight w:val="none"/>
        </w:rPr>
        <w:fldChar w:fldCharType="separate"/>
      </w:r>
      <w:r>
        <w:rPr>
          <w:rFonts w:ascii="Times New Roman" w:hAnsi="Times New Roman"/>
          <w:color w:val="auto"/>
          <w:sz w:val="21"/>
          <w:szCs w:val="21"/>
          <w:highlight w:val="none"/>
        </w:rPr>
        <w:t>- 80 -</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 xml:space="preserve">     </w:t>
      </w:r>
    </w:p>
    <w:p>
      <w:pPr>
        <w:pStyle w:val="14"/>
        <w:tabs>
          <w:tab w:val="right" w:leader="dot" w:pos="9354"/>
          <w:tab w:val="clear" w:pos="8505"/>
        </w:tabs>
        <w:spacing w:line="480" w:lineRule="auto"/>
        <w:rPr>
          <w:rFonts w:ascii="Times New Roman" w:hAnsi="Times New Roman"/>
          <w:color w:val="auto"/>
          <w:sz w:val="21"/>
          <w:szCs w:val="21"/>
          <w:highlight w:val="none"/>
        </w:rPr>
      </w:pPr>
      <w:r>
        <w:rPr>
          <w:rFonts w:ascii="Times New Roman" w:hAnsi="Times New Roman"/>
          <w:color w:val="auto"/>
          <w:sz w:val="21"/>
          <w:szCs w:val="21"/>
          <w:highlight w:val="none"/>
        </w:rPr>
        <w:fldChar w:fldCharType="end"/>
      </w:r>
    </w:p>
    <w:p>
      <w:pPr>
        <w:rPr>
          <w:rFonts w:ascii="Times New Roman" w:hAnsi="Times New Roman"/>
          <w:bCs/>
          <w:color w:val="auto"/>
          <w:szCs w:val="21"/>
          <w:highlight w:val="none"/>
        </w:rPr>
      </w:pPr>
    </w:p>
    <w:p>
      <w:pPr>
        <w:rPr>
          <w:rFonts w:ascii="Times New Roman" w:hAnsi="Times New Roman"/>
          <w:bCs/>
          <w:color w:val="auto"/>
          <w:szCs w:val="21"/>
          <w:highlight w:val="none"/>
        </w:rPr>
      </w:pPr>
    </w:p>
    <w:p>
      <w:pPr>
        <w:rPr>
          <w:rFonts w:ascii="Times New Roman" w:hAnsi="Times New Roman"/>
          <w:bCs/>
          <w:color w:val="auto"/>
          <w:szCs w:val="21"/>
          <w:highlight w:val="none"/>
        </w:rPr>
      </w:pPr>
    </w:p>
    <w:p>
      <w:pPr>
        <w:rPr>
          <w:rFonts w:ascii="Times New Roman" w:hAnsi="Times New Roman"/>
          <w:bCs/>
          <w:color w:val="auto"/>
          <w:szCs w:val="21"/>
          <w:highlight w:val="none"/>
        </w:rPr>
      </w:pPr>
    </w:p>
    <w:p>
      <w:pPr>
        <w:rPr>
          <w:rFonts w:ascii="Times New Roman" w:hAnsi="Times New Roman"/>
          <w:bCs/>
          <w:color w:val="auto"/>
          <w:szCs w:val="21"/>
          <w:highlight w:val="none"/>
        </w:rPr>
      </w:pPr>
    </w:p>
    <w:p>
      <w:pPr>
        <w:rPr>
          <w:rFonts w:ascii="Times New Roman" w:hAnsi="Times New Roman"/>
          <w:bCs/>
          <w:color w:val="auto"/>
          <w:szCs w:val="21"/>
          <w:highlight w:val="none"/>
        </w:rPr>
      </w:pPr>
    </w:p>
    <w:p>
      <w:pPr>
        <w:rPr>
          <w:rFonts w:ascii="Times New Roman" w:hAnsi="Times New Roman" w:eastAsia="宋体"/>
          <w:bCs w:val="0"/>
          <w:color w:val="auto"/>
          <w:spacing w:val="0"/>
          <w:kern w:val="0"/>
          <w:szCs w:val="36"/>
          <w:highlight w:val="none"/>
        </w:rPr>
        <w:sectPr>
          <w:headerReference r:id="rId10" w:type="default"/>
          <w:footerReference r:id="rId11" w:type="default"/>
          <w:pgSz w:w="11907" w:h="16840"/>
          <w:pgMar w:top="1134" w:right="992" w:bottom="1134" w:left="1418" w:header="680" w:footer="567" w:gutter="0"/>
          <w:pgNumType w:fmt="numberInDash"/>
          <w:cols w:space="720" w:num="1"/>
          <w:docGrid w:linePitch="312" w:charSpace="0"/>
        </w:sectPr>
      </w:pPr>
      <w:bookmarkStart w:id="0" w:name="_Toc509841360"/>
    </w:p>
    <w:p>
      <w:pPr>
        <w:pStyle w:val="2"/>
        <w:rPr>
          <w:color w:val="auto"/>
          <w:highlight w:val="none"/>
        </w:rPr>
        <w:sectPr>
          <w:footerReference r:id="rId12" w:type="default"/>
          <w:pgSz w:w="11907" w:h="16840"/>
          <w:pgMar w:top="1134" w:right="992" w:bottom="1134" w:left="1418" w:header="680" w:footer="567" w:gutter="0"/>
          <w:pgNumType w:fmt="numberInDash"/>
          <w:cols w:space="720" w:num="1"/>
          <w:docGrid w:linePitch="312" w:charSpace="0"/>
        </w:sectPr>
      </w:pPr>
    </w:p>
    <w:p>
      <w:pPr>
        <w:pStyle w:val="2"/>
        <w:rPr>
          <w:color w:val="auto"/>
          <w:highlight w:val="none"/>
        </w:rPr>
      </w:pPr>
    </w:p>
    <w:p>
      <w:pPr>
        <w:pStyle w:val="5"/>
        <w:keepLines w:val="0"/>
        <w:pageBreakBefore w:val="0"/>
        <w:widowControl/>
        <w:autoSpaceDE/>
        <w:autoSpaceDN/>
        <w:adjustRightInd/>
        <w:spacing w:before="0" w:after="0" w:line="400" w:lineRule="exact"/>
        <w:rPr>
          <w:rFonts w:ascii="Times New Roman" w:hAnsi="Times New Roman" w:eastAsia="宋体"/>
          <w:bCs w:val="0"/>
          <w:color w:val="auto"/>
          <w:spacing w:val="0"/>
          <w:kern w:val="0"/>
          <w:szCs w:val="36"/>
          <w:highlight w:val="none"/>
        </w:rPr>
      </w:pPr>
      <w:r>
        <w:rPr>
          <w:rFonts w:ascii="Times New Roman" w:hAnsi="Times New Roman" w:eastAsia="宋体"/>
          <w:bCs w:val="0"/>
          <w:color w:val="auto"/>
          <w:spacing w:val="0"/>
          <w:kern w:val="0"/>
          <w:szCs w:val="36"/>
          <w:highlight w:val="none"/>
        </w:rPr>
        <w:t>第一章  监理招标公告</w:t>
      </w:r>
      <w:bookmarkEnd w:id="0"/>
    </w:p>
    <w:p>
      <w:pPr>
        <w:autoSpaceDN w:val="0"/>
        <w:adjustRightInd w:val="0"/>
        <w:snapToGrid w:val="0"/>
        <w:spacing w:line="560" w:lineRule="exact"/>
        <w:jc w:val="center"/>
        <w:rPr>
          <w:rFonts w:ascii="Times New Roman" w:hAnsi="Times New Roman"/>
          <w:b/>
          <w:bCs/>
          <w:color w:val="auto"/>
          <w:sz w:val="22"/>
          <w:szCs w:val="22"/>
          <w:highlight w:val="none"/>
        </w:rPr>
      </w:pPr>
      <w:r>
        <w:rPr>
          <w:rFonts w:hint="eastAsia" w:ascii="Times New Roman" w:hAnsi="Times New Roman"/>
          <w:b/>
          <w:bCs/>
          <w:color w:val="auto"/>
          <w:sz w:val="22"/>
          <w:szCs w:val="22"/>
          <w:highlight w:val="none"/>
          <w:lang w:eastAsia="zh-CN"/>
        </w:rPr>
        <w:t>株洲市清水塘老工业区产业新城整体开发项目清水塘大桥新建工程施工监理</w:t>
      </w:r>
      <w:r>
        <w:rPr>
          <w:rFonts w:ascii="Times New Roman" w:hAnsi="Times New Roman"/>
          <w:b/>
          <w:bCs/>
          <w:color w:val="auto"/>
          <w:sz w:val="22"/>
          <w:szCs w:val="22"/>
          <w:highlight w:val="none"/>
        </w:rPr>
        <w:t>招标公告</w:t>
      </w:r>
    </w:p>
    <w:p>
      <w:pPr>
        <w:keepLines w:val="0"/>
        <w:pageBreakBefore w:val="0"/>
        <w:kinsoku/>
        <w:wordWrap/>
        <w:overflowPunct/>
        <w:topLinePunct w:val="0"/>
        <w:autoSpaceDE/>
        <w:autoSpaceDN w:val="0"/>
        <w:bidi w:val="0"/>
        <w:adjustRightInd w:val="0"/>
        <w:snapToGrid w:val="0"/>
        <w:spacing w:line="500" w:lineRule="exact"/>
        <w:jc w:val="left"/>
        <w:textAlignment w:val="auto"/>
        <w:rPr>
          <w:rFonts w:ascii="Times New Roman" w:hAnsi="Times New Roman"/>
          <w:b/>
          <w:bCs/>
          <w:color w:val="auto"/>
          <w:szCs w:val="21"/>
          <w:highlight w:val="none"/>
        </w:rPr>
      </w:pPr>
      <w:r>
        <w:rPr>
          <w:rFonts w:ascii="Times New Roman" w:hAnsi="Times New Roman"/>
          <w:b/>
          <w:bCs/>
          <w:color w:val="auto"/>
          <w:szCs w:val="21"/>
          <w:highlight w:val="none"/>
        </w:rPr>
        <w:t>1.招标条件</w:t>
      </w:r>
    </w:p>
    <w:p>
      <w:pPr>
        <w:pStyle w:val="22"/>
        <w:keepLines w:val="0"/>
        <w:pageBreakBefore w:val="0"/>
        <w:kinsoku/>
        <w:wordWrap/>
        <w:overflowPunct/>
        <w:topLinePunct w:val="0"/>
        <w:autoSpaceDE/>
        <w:bidi w:val="0"/>
        <w:adjustRightInd w:val="0"/>
        <w:snapToGrid w:val="0"/>
        <w:spacing w:line="500" w:lineRule="exact"/>
        <w:ind w:firstLine="315" w:firstLineChars="150"/>
        <w:textAlignment w:val="auto"/>
        <w:rPr>
          <w:rFonts w:ascii="Times New Roman" w:hAnsi="Times New Roman"/>
          <w:color w:val="auto"/>
          <w:highlight w:val="none"/>
        </w:rPr>
      </w:pPr>
      <w:r>
        <w:rPr>
          <w:rFonts w:ascii="Times New Roman" w:hAnsi="Times New Roman"/>
          <w:color w:val="auto"/>
          <w:highlight w:val="none"/>
        </w:rPr>
        <w:t>本招标项目</w:t>
      </w:r>
      <w:r>
        <w:rPr>
          <w:rFonts w:hint="eastAsia" w:ascii="Times New Roman" w:hAnsi="Times New Roman"/>
          <w:b/>
          <w:bCs/>
          <w:color w:val="auto"/>
          <w:highlight w:val="none"/>
          <w:u w:val="single"/>
          <w:lang w:eastAsia="zh-CN"/>
        </w:rPr>
        <w:t>株洲市清水塘老工业区产业新城整体开发项目清水塘大桥新建工程</w:t>
      </w:r>
      <w:r>
        <w:rPr>
          <w:rFonts w:ascii="Times New Roman" w:hAnsi="Times New Roman"/>
          <w:color w:val="auto"/>
          <w:highlight w:val="none"/>
        </w:rPr>
        <w:t>已由</w:t>
      </w:r>
      <w:r>
        <w:rPr>
          <w:rFonts w:ascii="Times New Roman" w:hAnsi="Times New Roman"/>
          <w:b/>
          <w:bCs/>
          <w:color w:val="auto"/>
          <w:highlight w:val="none"/>
          <w:u w:val="single"/>
        </w:rPr>
        <w:t>株洲市发展和改革委员会</w:t>
      </w:r>
      <w:r>
        <w:rPr>
          <w:rFonts w:ascii="Times New Roman" w:hAnsi="Times New Roman"/>
          <w:color w:val="auto"/>
          <w:highlight w:val="none"/>
        </w:rPr>
        <w:t>批准建设以</w:t>
      </w:r>
      <w:r>
        <w:rPr>
          <w:rFonts w:ascii="Times New Roman" w:hAnsi="Times New Roman"/>
          <w:b/>
          <w:bCs/>
          <w:color w:val="auto"/>
          <w:highlight w:val="none"/>
          <w:u w:val="single"/>
        </w:rPr>
        <w:t>株发改</w:t>
      </w:r>
      <w:r>
        <w:rPr>
          <w:rFonts w:hint="eastAsia" w:ascii="Times New Roman" w:hAnsi="Times New Roman"/>
          <w:b/>
          <w:bCs/>
          <w:color w:val="auto"/>
          <w:highlight w:val="none"/>
          <w:u w:val="single"/>
          <w:lang w:eastAsia="zh-CN"/>
        </w:rPr>
        <w:t>审</w:t>
      </w:r>
      <w:r>
        <w:rPr>
          <w:rFonts w:ascii="Times New Roman" w:hAnsi="Times New Roman"/>
          <w:b/>
          <w:bCs/>
          <w:color w:val="auto"/>
          <w:highlight w:val="none"/>
          <w:u w:val="single"/>
        </w:rPr>
        <w:t>[201</w:t>
      </w:r>
      <w:r>
        <w:rPr>
          <w:rFonts w:hint="eastAsia" w:ascii="Times New Roman" w:hAnsi="Times New Roman"/>
          <w:b/>
          <w:bCs/>
          <w:color w:val="auto"/>
          <w:highlight w:val="none"/>
          <w:u w:val="single"/>
          <w:lang w:val="en-US" w:eastAsia="zh-CN"/>
        </w:rPr>
        <w:t>7</w:t>
      </w:r>
      <w:r>
        <w:rPr>
          <w:rFonts w:ascii="Times New Roman" w:hAnsi="Times New Roman"/>
          <w:b/>
          <w:bCs/>
          <w:color w:val="auto"/>
          <w:highlight w:val="none"/>
          <w:u w:val="single"/>
        </w:rPr>
        <w:t>]</w:t>
      </w:r>
      <w:r>
        <w:rPr>
          <w:rFonts w:hint="eastAsia" w:ascii="Times New Roman" w:hAnsi="Times New Roman"/>
          <w:b/>
          <w:bCs/>
          <w:color w:val="auto"/>
          <w:highlight w:val="none"/>
          <w:u w:val="single"/>
          <w:lang w:val="en-US" w:eastAsia="zh-CN"/>
        </w:rPr>
        <w:t>126</w:t>
      </w:r>
      <w:r>
        <w:rPr>
          <w:rFonts w:ascii="Times New Roman" w:hAnsi="Times New Roman"/>
          <w:b/>
          <w:bCs/>
          <w:color w:val="auto"/>
          <w:highlight w:val="none"/>
          <w:u w:val="single"/>
        </w:rPr>
        <w:t>号</w:t>
      </w:r>
      <w:r>
        <w:rPr>
          <w:rFonts w:ascii="Times New Roman" w:hAnsi="Times New Roman"/>
          <w:color w:val="auto"/>
          <w:highlight w:val="none"/>
        </w:rPr>
        <w:t>批准建设，建设资金为SPV公司（项目公司）筹集。招标人为株洲市清水塘投资集团有限公司，招标代理机构为湖南新泉工程造价咨询有限公司，项目已具备招标条件，现对该项目的监理进行公开招标。</w:t>
      </w:r>
    </w:p>
    <w:p>
      <w:pPr>
        <w:keepLines w:val="0"/>
        <w:pageBreakBefore w:val="0"/>
        <w:kinsoku/>
        <w:wordWrap/>
        <w:overflowPunct/>
        <w:topLinePunct w:val="0"/>
        <w:autoSpaceDE/>
        <w:autoSpaceDN w:val="0"/>
        <w:bidi w:val="0"/>
        <w:adjustRightInd w:val="0"/>
        <w:snapToGrid w:val="0"/>
        <w:spacing w:line="500" w:lineRule="exact"/>
        <w:jc w:val="left"/>
        <w:textAlignment w:val="auto"/>
        <w:rPr>
          <w:rFonts w:ascii="Times New Roman" w:hAnsi="Times New Roman"/>
          <w:b/>
          <w:bCs/>
          <w:color w:val="auto"/>
          <w:szCs w:val="21"/>
          <w:highlight w:val="none"/>
        </w:rPr>
      </w:pPr>
      <w:r>
        <w:rPr>
          <w:rFonts w:ascii="Times New Roman" w:hAnsi="Times New Roman"/>
          <w:b/>
          <w:bCs/>
          <w:color w:val="auto"/>
          <w:szCs w:val="21"/>
          <w:highlight w:val="none"/>
        </w:rPr>
        <w:t>2.项目概况与招标范围</w:t>
      </w:r>
    </w:p>
    <w:p>
      <w:pPr>
        <w:keepLines w:val="0"/>
        <w:pageBreakBefore w:val="0"/>
        <w:kinsoku/>
        <w:wordWrap/>
        <w:overflowPunct/>
        <w:topLinePunct w:val="0"/>
        <w:autoSpaceDE/>
        <w:autoSpaceDN w:val="0"/>
        <w:bidi w:val="0"/>
        <w:adjustRightInd w:val="0"/>
        <w:snapToGrid w:val="0"/>
        <w:spacing w:line="500" w:lineRule="exact"/>
        <w:jc w:val="left"/>
        <w:textAlignment w:val="auto"/>
        <w:rPr>
          <w:rFonts w:hint="eastAsia" w:ascii="Times New Roman" w:hAnsi="Times New Roman" w:eastAsia="宋体"/>
          <w:color w:val="auto"/>
          <w:szCs w:val="21"/>
          <w:highlight w:val="none"/>
          <w:lang w:eastAsia="zh-CN"/>
        </w:rPr>
      </w:pPr>
      <w:r>
        <w:rPr>
          <w:rFonts w:ascii="Times New Roman" w:hAnsi="Times New Roman"/>
          <w:color w:val="auto"/>
          <w:sz w:val="22"/>
          <w:highlight w:val="none"/>
        </w:rPr>
        <w:t xml:space="preserve"> </w:t>
      </w:r>
      <w:r>
        <w:rPr>
          <w:rFonts w:ascii="Times New Roman" w:hAnsi="Times New Roman"/>
          <w:color w:val="auto"/>
          <w:sz w:val="22"/>
          <w:szCs w:val="22"/>
          <w:highlight w:val="none"/>
        </w:rPr>
        <w:t xml:space="preserve">  </w:t>
      </w:r>
      <w:r>
        <w:rPr>
          <w:rFonts w:ascii="Times New Roman" w:hAnsi="Times New Roman"/>
          <w:color w:val="auto"/>
          <w:highlight w:val="none"/>
        </w:rPr>
        <w:t xml:space="preserve"> 2.1 工程名称：</w:t>
      </w:r>
      <w:bookmarkStart w:id="1" w:name="OLE_LINK3"/>
      <w:r>
        <w:rPr>
          <w:rFonts w:hint="eastAsia" w:ascii="Times New Roman" w:hAnsi="Times New Roman"/>
          <w:color w:val="auto"/>
          <w:highlight w:val="none"/>
          <w:lang w:eastAsia="zh-CN"/>
        </w:rPr>
        <w:t>株洲市清水塘老工业区产业新城整体开发项目清水塘大桥新建工程施工监理</w:t>
      </w:r>
    </w:p>
    <w:bookmarkEnd w:id="1"/>
    <w:p>
      <w:pPr>
        <w:keepLines w:val="0"/>
        <w:pageBreakBefore w:val="0"/>
        <w:kinsoku/>
        <w:wordWrap/>
        <w:overflowPunct/>
        <w:topLinePunct w:val="0"/>
        <w:autoSpaceDE/>
        <w:autoSpaceDN w:val="0"/>
        <w:bidi w:val="0"/>
        <w:adjustRightInd w:val="0"/>
        <w:snapToGrid w:val="0"/>
        <w:spacing w:line="500" w:lineRule="exact"/>
        <w:ind w:firstLine="420" w:firstLineChars="200"/>
        <w:jc w:val="left"/>
        <w:textAlignment w:val="auto"/>
        <w:rPr>
          <w:rFonts w:ascii="Times New Roman" w:hAnsi="Times New Roman"/>
          <w:color w:val="auto"/>
          <w:highlight w:val="none"/>
        </w:rPr>
      </w:pPr>
      <w:r>
        <w:rPr>
          <w:rFonts w:ascii="Times New Roman" w:hAnsi="Times New Roman"/>
          <w:color w:val="auto"/>
          <w:highlight w:val="none"/>
        </w:rPr>
        <w:t>2.2 工程概况：项目主要建设内容为新建桥梁、道路、排水、照明、景观、交通设施及附属工程等。清水塘大桥北起清水塘大道，上跨清霞路，往南越过湘江，上跨滨江北路、新东路后对接珠江北路落地，道路全长2.85公里，其中桥梁段长度2.175公里。主跨桥梁采用双层钢桁架拱桥结构，跨径408米，桥梁上层为机动车道，净宽31米，双向6车道，桥梁下层为人非车道，净宽10米。道路等级按城市主干道标准设计。跨江主线段设计时速60公里/小时，引桥接地段及地面道路段设计时速50公里/小时，匝道设计时速40公里/小时。其他经济技术指标应符合城市道路和桥梁设计建设现行标准规范要求。项目总投资150256.63万元，其中工程费113363.44万元。</w:t>
      </w:r>
    </w:p>
    <w:p>
      <w:pPr>
        <w:keepLines w:val="0"/>
        <w:pageBreakBefore w:val="0"/>
        <w:kinsoku/>
        <w:wordWrap/>
        <w:overflowPunct/>
        <w:topLinePunct w:val="0"/>
        <w:autoSpaceDE/>
        <w:bidi w:val="0"/>
        <w:adjustRightInd w:val="0"/>
        <w:snapToGrid w:val="0"/>
        <w:spacing w:line="500" w:lineRule="exact"/>
        <w:ind w:firstLine="420" w:firstLineChars="200"/>
        <w:textAlignment w:val="auto"/>
        <w:rPr>
          <w:rFonts w:ascii="Times New Roman" w:hAnsi="Times New Roman"/>
          <w:color w:val="auto"/>
          <w:szCs w:val="21"/>
          <w:highlight w:val="none"/>
        </w:rPr>
      </w:pPr>
      <w:r>
        <w:rPr>
          <w:rFonts w:ascii="Times New Roman" w:hAnsi="Times New Roman"/>
          <w:color w:val="auto"/>
          <w:highlight w:val="none"/>
        </w:rPr>
        <w:t>2.3 招标范围：本招</w:t>
      </w:r>
      <w:r>
        <w:rPr>
          <w:rFonts w:ascii="Times New Roman" w:hAnsi="Times New Roman"/>
          <w:color w:val="auto"/>
          <w:szCs w:val="21"/>
          <w:highlight w:val="none"/>
        </w:rPr>
        <w:t>标项目设计施工图范围内全部工程的施工准备、施工及保修阶段的监理，具体工作范围及界线以招标人下达的任务书为准。</w:t>
      </w:r>
    </w:p>
    <w:p>
      <w:pPr>
        <w:keepLines w:val="0"/>
        <w:pageBreakBefore w:val="0"/>
        <w:kinsoku/>
        <w:wordWrap/>
        <w:overflowPunct/>
        <w:topLinePunct w:val="0"/>
        <w:autoSpaceDE/>
        <w:bidi w:val="0"/>
        <w:adjustRightInd w:val="0"/>
        <w:snapToGrid w:val="0"/>
        <w:spacing w:line="500" w:lineRule="exact"/>
        <w:ind w:firstLine="420" w:firstLineChars="200"/>
        <w:textAlignment w:val="auto"/>
        <w:rPr>
          <w:rFonts w:ascii="Times New Roman" w:hAnsi="Times New Roman"/>
          <w:color w:val="auto"/>
          <w:szCs w:val="21"/>
          <w:highlight w:val="none"/>
        </w:rPr>
      </w:pPr>
      <w:r>
        <w:rPr>
          <w:rFonts w:ascii="Times New Roman" w:hAnsi="Times New Roman"/>
          <w:color w:val="auto"/>
          <w:highlight w:val="none"/>
        </w:rPr>
        <w:t>2.4 工期控制目标：以本</w:t>
      </w:r>
      <w:r>
        <w:rPr>
          <w:rFonts w:ascii="Times New Roman" w:hAnsi="Times New Roman"/>
          <w:color w:val="auto"/>
          <w:szCs w:val="21"/>
          <w:highlight w:val="none"/>
        </w:rPr>
        <w:t>招标项目各单项或单位工程的施工合同中所确定的施工工期为工期控制目标</w:t>
      </w:r>
      <w:r>
        <w:rPr>
          <w:rFonts w:ascii="Times New Roman" w:hAnsi="Times New Roman"/>
          <w:color w:val="auto"/>
          <w:kern w:val="0"/>
          <w:szCs w:val="21"/>
          <w:highlight w:val="none"/>
        </w:rPr>
        <w:t>，直至本招标工程项目全部完工。</w:t>
      </w:r>
    </w:p>
    <w:p>
      <w:pPr>
        <w:keepLines w:val="0"/>
        <w:pageBreakBefore w:val="0"/>
        <w:kinsoku/>
        <w:wordWrap/>
        <w:overflowPunct/>
        <w:topLinePunct w:val="0"/>
        <w:autoSpaceDE/>
        <w:bidi w:val="0"/>
        <w:adjustRightInd w:val="0"/>
        <w:snapToGrid w:val="0"/>
        <w:spacing w:line="500" w:lineRule="exact"/>
        <w:ind w:firstLine="420" w:firstLineChars="200"/>
        <w:textAlignment w:val="auto"/>
        <w:rPr>
          <w:rFonts w:ascii="Times New Roman" w:hAnsi="Times New Roman"/>
          <w:color w:val="auto"/>
          <w:szCs w:val="21"/>
          <w:highlight w:val="none"/>
        </w:rPr>
      </w:pPr>
      <w:r>
        <w:rPr>
          <w:rFonts w:ascii="Times New Roman" w:hAnsi="Times New Roman"/>
          <w:color w:val="auto"/>
          <w:highlight w:val="none"/>
        </w:rPr>
        <w:t>2.5 质量控制目标：以本招标项</w:t>
      </w:r>
      <w:r>
        <w:rPr>
          <w:rFonts w:ascii="Times New Roman" w:hAnsi="Times New Roman"/>
          <w:color w:val="auto"/>
          <w:szCs w:val="21"/>
          <w:highlight w:val="none"/>
        </w:rPr>
        <w:t>目各单项或单位工程的施工合同中所确定的质量标准为质量控制目标</w:t>
      </w:r>
      <w:r>
        <w:rPr>
          <w:rFonts w:ascii="Times New Roman" w:hAnsi="Times New Roman"/>
          <w:color w:val="auto"/>
          <w:kern w:val="0"/>
          <w:szCs w:val="21"/>
          <w:highlight w:val="none"/>
        </w:rPr>
        <w:t>。</w:t>
      </w:r>
    </w:p>
    <w:p>
      <w:pPr>
        <w:keepLines w:val="0"/>
        <w:pageBreakBefore w:val="0"/>
        <w:kinsoku/>
        <w:wordWrap/>
        <w:overflowPunct/>
        <w:topLinePunct w:val="0"/>
        <w:autoSpaceDE/>
        <w:autoSpaceDN w:val="0"/>
        <w:bidi w:val="0"/>
        <w:adjustRightInd w:val="0"/>
        <w:snapToGrid w:val="0"/>
        <w:spacing w:line="500" w:lineRule="exact"/>
        <w:ind w:firstLine="405"/>
        <w:jc w:val="left"/>
        <w:textAlignment w:val="auto"/>
        <w:rPr>
          <w:rFonts w:ascii="Times New Roman" w:hAnsi="Times New Roman"/>
          <w:color w:val="auto"/>
          <w:kern w:val="0"/>
          <w:szCs w:val="21"/>
          <w:highlight w:val="none"/>
        </w:rPr>
      </w:pPr>
      <w:r>
        <w:rPr>
          <w:rFonts w:ascii="Times New Roman" w:hAnsi="Times New Roman"/>
          <w:color w:val="auto"/>
          <w:highlight w:val="none"/>
        </w:rPr>
        <w:t>2.6 投资控制目标：控制</w:t>
      </w:r>
      <w:r>
        <w:rPr>
          <w:rFonts w:ascii="Times New Roman" w:hAnsi="Times New Roman"/>
          <w:color w:val="auto"/>
          <w:szCs w:val="21"/>
          <w:highlight w:val="none"/>
        </w:rPr>
        <w:t>在本招标项目施工合同约定的范围内</w:t>
      </w:r>
      <w:r>
        <w:rPr>
          <w:rFonts w:ascii="Times New Roman" w:hAnsi="Times New Roman"/>
          <w:color w:val="auto"/>
          <w:kern w:val="0"/>
          <w:szCs w:val="21"/>
          <w:highlight w:val="none"/>
        </w:rPr>
        <w:t>，直至本招标工程项目全部完工。</w:t>
      </w:r>
    </w:p>
    <w:p>
      <w:pPr>
        <w:keepLines w:val="0"/>
        <w:pageBreakBefore w:val="0"/>
        <w:kinsoku/>
        <w:wordWrap/>
        <w:overflowPunct/>
        <w:topLinePunct w:val="0"/>
        <w:autoSpaceDE/>
        <w:autoSpaceDN w:val="0"/>
        <w:bidi w:val="0"/>
        <w:adjustRightInd w:val="0"/>
        <w:snapToGrid w:val="0"/>
        <w:spacing w:line="500" w:lineRule="exact"/>
        <w:ind w:firstLine="405"/>
        <w:jc w:val="left"/>
        <w:textAlignment w:val="auto"/>
        <w:rPr>
          <w:rFonts w:ascii="Times New Roman" w:hAnsi="Times New Roman"/>
          <w:color w:val="auto"/>
          <w:szCs w:val="21"/>
          <w:highlight w:val="none"/>
        </w:rPr>
      </w:pPr>
      <w:r>
        <w:rPr>
          <w:rFonts w:ascii="Times New Roman" w:hAnsi="Times New Roman"/>
          <w:color w:val="auto"/>
          <w:kern w:val="0"/>
          <w:szCs w:val="21"/>
          <w:highlight w:val="none"/>
        </w:rPr>
        <w:t>2.7 监理服务期：以本招标工程项目的施工准备阶段、施工合同工期、交工验收工期另加缺陷责任期24个月</w:t>
      </w:r>
    </w:p>
    <w:p>
      <w:pPr>
        <w:keepLines w:val="0"/>
        <w:pageBreakBefore w:val="0"/>
        <w:numPr>
          <w:ilvl w:val="0"/>
          <w:numId w:val="1"/>
        </w:numPr>
        <w:kinsoku/>
        <w:wordWrap/>
        <w:overflowPunct/>
        <w:topLinePunct w:val="0"/>
        <w:autoSpaceDE/>
        <w:autoSpaceDN w:val="0"/>
        <w:bidi w:val="0"/>
        <w:adjustRightInd w:val="0"/>
        <w:snapToGrid w:val="0"/>
        <w:spacing w:line="500" w:lineRule="exact"/>
        <w:jc w:val="left"/>
        <w:textAlignment w:val="auto"/>
        <w:rPr>
          <w:rFonts w:ascii="Times New Roman" w:hAnsi="Times New Roman"/>
          <w:b/>
          <w:bCs/>
          <w:color w:val="auto"/>
          <w:szCs w:val="21"/>
          <w:highlight w:val="none"/>
        </w:rPr>
      </w:pPr>
      <w:r>
        <w:rPr>
          <w:rFonts w:ascii="Times New Roman" w:hAnsi="Times New Roman"/>
          <w:b/>
          <w:bCs/>
          <w:color w:val="auto"/>
          <w:szCs w:val="21"/>
          <w:highlight w:val="none"/>
        </w:rPr>
        <w:t>投标人资格条件</w:t>
      </w:r>
    </w:p>
    <w:p>
      <w:pPr>
        <w:keepLines w:val="0"/>
        <w:pageBreakBefore w:val="0"/>
        <w:kinsoku/>
        <w:wordWrap/>
        <w:overflowPunct/>
        <w:topLinePunct w:val="0"/>
        <w:autoSpaceDE/>
        <w:autoSpaceDN w:val="0"/>
        <w:bidi w:val="0"/>
        <w:adjustRightInd w:val="0"/>
        <w:snapToGrid w:val="0"/>
        <w:spacing w:line="500" w:lineRule="exact"/>
        <w:ind w:firstLine="420" w:firstLineChars="200"/>
        <w:jc w:val="left"/>
        <w:textAlignment w:val="auto"/>
        <w:rPr>
          <w:rFonts w:ascii="Times New Roman" w:hAnsi="Times New Roman"/>
          <w:color w:val="auto"/>
          <w:highlight w:val="none"/>
        </w:rPr>
      </w:pPr>
      <w:r>
        <w:rPr>
          <w:rFonts w:ascii="Times New Roman" w:hAnsi="Times New Roman"/>
          <w:color w:val="auto"/>
          <w:highlight w:val="none"/>
        </w:rPr>
        <w:t>3.1 具有独立的企业法人资格和有效的营业执照；</w:t>
      </w:r>
    </w:p>
    <w:p>
      <w:pPr>
        <w:keepLines w:val="0"/>
        <w:pageBreakBefore w:val="0"/>
        <w:kinsoku/>
        <w:wordWrap/>
        <w:overflowPunct/>
        <w:topLinePunct w:val="0"/>
        <w:autoSpaceDE/>
        <w:autoSpaceDN w:val="0"/>
        <w:bidi w:val="0"/>
        <w:adjustRightInd w:val="0"/>
        <w:snapToGrid w:val="0"/>
        <w:spacing w:line="500" w:lineRule="exact"/>
        <w:ind w:firstLine="420" w:firstLineChars="200"/>
        <w:jc w:val="left"/>
        <w:textAlignment w:val="auto"/>
        <w:rPr>
          <w:rFonts w:ascii="Times New Roman" w:hAnsi="Times New Roman"/>
          <w:color w:val="auto"/>
          <w:highlight w:val="none"/>
        </w:rPr>
      </w:pPr>
      <w:r>
        <w:rPr>
          <w:rFonts w:ascii="Times New Roman" w:hAnsi="Times New Roman"/>
          <w:color w:val="auto"/>
          <w:highlight w:val="none"/>
        </w:rPr>
        <w:t>3.2 投标人须</w:t>
      </w:r>
      <w:r>
        <w:rPr>
          <w:rFonts w:hint="eastAsia" w:ascii="宋体" w:hAnsi="宋体" w:cs="宋体"/>
          <w:color w:val="auto"/>
          <w:szCs w:val="21"/>
          <w:highlight w:val="none"/>
        </w:rPr>
        <w:t>具备建设行政主管部门颁发的工程监理综合资质或市政公用工程监理</w:t>
      </w:r>
      <w:r>
        <w:rPr>
          <w:rFonts w:hint="eastAsia" w:ascii="宋体" w:hAnsi="宋体" w:cs="宋体"/>
          <w:color w:val="auto"/>
          <w:szCs w:val="21"/>
          <w:highlight w:val="none"/>
          <w:lang w:eastAsia="zh-CN"/>
        </w:rPr>
        <w:t>甲</w:t>
      </w:r>
      <w:r>
        <w:rPr>
          <w:rFonts w:hint="eastAsia" w:ascii="宋体" w:hAnsi="宋体" w:cs="宋体"/>
          <w:color w:val="auto"/>
          <w:szCs w:val="21"/>
          <w:highlight w:val="none"/>
        </w:rPr>
        <w:t>级企业资质</w:t>
      </w:r>
      <w:r>
        <w:rPr>
          <w:rFonts w:ascii="Times New Roman" w:hAnsi="Times New Roman"/>
          <w:color w:val="auto"/>
          <w:highlight w:val="none"/>
        </w:rPr>
        <w:t>；</w:t>
      </w:r>
    </w:p>
    <w:p>
      <w:pPr>
        <w:keepLines w:val="0"/>
        <w:pageBreakBefore w:val="0"/>
        <w:kinsoku/>
        <w:wordWrap/>
        <w:overflowPunct/>
        <w:topLinePunct w:val="0"/>
        <w:autoSpaceDE/>
        <w:autoSpaceDN w:val="0"/>
        <w:bidi w:val="0"/>
        <w:adjustRightInd w:val="0"/>
        <w:snapToGrid w:val="0"/>
        <w:spacing w:line="500" w:lineRule="exact"/>
        <w:ind w:firstLine="420" w:firstLineChars="200"/>
        <w:jc w:val="left"/>
        <w:textAlignment w:val="auto"/>
        <w:rPr>
          <w:rFonts w:ascii="Times New Roman" w:hAnsi="Times New Roman"/>
          <w:color w:val="auto"/>
          <w:highlight w:val="none"/>
        </w:rPr>
      </w:pPr>
      <w:r>
        <w:rPr>
          <w:rFonts w:ascii="Times New Roman" w:hAnsi="Times New Roman"/>
          <w:color w:val="auto"/>
          <w:highlight w:val="none"/>
        </w:rPr>
        <w:t>3.3 拟任总监理工程师必须具有全国监理工程师注册证（注册专业应含市政公用工程，且无在监项目），项目现场监理部其他关键岗位人员要求详见招标文件投标须知第6条；</w:t>
      </w:r>
    </w:p>
    <w:p>
      <w:pPr>
        <w:keepLines w:val="0"/>
        <w:pageBreakBefore w:val="0"/>
        <w:kinsoku/>
        <w:wordWrap/>
        <w:overflowPunct/>
        <w:topLinePunct w:val="0"/>
        <w:autoSpaceDE/>
        <w:autoSpaceDN w:val="0"/>
        <w:bidi w:val="0"/>
        <w:adjustRightInd w:val="0"/>
        <w:snapToGrid w:val="0"/>
        <w:spacing w:line="500" w:lineRule="exact"/>
        <w:ind w:firstLine="420" w:firstLineChars="200"/>
        <w:jc w:val="left"/>
        <w:textAlignment w:val="auto"/>
        <w:rPr>
          <w:rFonts w:ascii="Times New Roman" w:hAnsi="Times New Roman"/>
          <w:color w:val="auto"/>
          <w:highlight w:val="none"/>
        </w:rPr>
      </w:pPr>
      <w:r>
        <w:rPr>
          <w:rFonts w:ascii="Times New Roman" w:hAnsi="Times New Roman"/>
          <w:color w:val="auto"/>
          <w:highlight w:val="none"/>
        </w:rPr>
        <w:t>3.4 湖南省外监理企业按照湘建建[2015]190号文要求已进行入湘企业基本信息备案（以“湖南省住房和城乡建设网”查询为准）；</w:t>
      </w:r>
    </w:p>
    <w:p>
      <w:pPr>
        <w:keepLines w:val="0"/>
        <w:pageBreakBefore w:val="0"/>
        <w:kinsoku/>
        <w:wordWrap/>
        <w:overflowPunct/>
        <w:topLinePunct w:val="0"/>
        <w:autoSpaceDE/>
        <w:autoSpaceDN w:val="0"/>
        <w:bidi w:val="0"/>
        <w:adjustRightInd w:val="0"/>
        <w:snapToGrid w:val="0"/>
        <w:spacing w:line="500" w:lineRule="exact"/>
        <w:ind w:firstLine="420" w:firstLineChars="200"/>
        <w:jc w:val="left"/>
        <w:textAlignment w:val="auto"/>
        <w:rPr>
          <w:rFonts w:ascii="Times New Roman" w:hAnsi="Times New Roman"/>
          <w:color w:val="auto"/>
          <w:highlight w:val="none"/>
        </w:rPr>
      </w:pPr>
      <w:r>
        <w:rPr>
          <w:rFonts w:ascii="Times New Roman" w:hAnsi="Times New Roman"/>
          <w:color w:val="auto"/>
          <w:highlight w:val="none"/>
        </w:rPr>
        <w:t>3.5 单位负责人为同一人或者存在控股、管理关系的不同单位，不得同时参加本工程投标，否则，其投标均无效；</w:t>
      </w:r>
    </w:p>
    <w:p>
      <w:pPr>
        <w:keepLines w:val="0"/>
        <w:pageBreakBefore w:val="0"/>
        <w:kinsoku/>
        <w:wordWrap/>
        <w:overflowPunct/>
        <w:topLinePunct w:val="0"/>
        <w:autoSpaceDE/>
        <w:autoSpaceDN w:val="0"/>
        <w:bidi w:val="0"/>
        <w:adjustRightInd w:val="0"/>
        <w:snapToGrid w:val="0"/>
        <w:spacing w:line="500" w:lineRule="exact"/>
        <w:ind w:firstLine="420" w:firstLineChars="200"/>
        <w:jc w:val="left"/>
        <w:textAlignment w:val="auto"/>
        <w:rPr>
          <w:rFonts w:ascii="Times New Roman" w:hAnsi="Times New Roman"/>
          <w:color w:val="auto"/>
          <w:highlight w:val="none"/>
        </w:rPr>
      </w:pPr>
      <w:r>
        <w:rPr>
          <w:rFonts w:ascii="Times New Roman" w:hAnsi="Times New Roman"/>
          <w:color w:val="auto"/>
          <w:highlight w:val="none"/>
        </w:rPr>
        <w:t>3.6 本次招标不接受联合体投标；</w:t>
      </w:r>
    </w:p>
    <w:p>
      <w:pPr>
        <w:keepLines w:val="0"/>
        <w:pageBreakBefore w:val="0"/>
        <w:kinsoku/>
        <w:wordWrap/>
        <w:overflowPunct/>
        <w:topLinePunct w:val="0"/>
        <w:autoSpaceDE/>
        <w:autoSpaceDN w:val="0"/>
        <w:bidi w:val="0"/>
        <w:adjustRightInd w:val="0"/>
        <w:snapToGrid w:val="0"/>
        <w:spacing w:line="500" w:lineRule="exact"/>
        <w:ind w:firstLine="420" w:firstLineChars="200"/>
        <w:jc w:val="left"/>
        <w:textAlignment w:val="auto"/>
        <w:rPr>
          <w:rFonts w:ascii="Times New Roman" w:hAnsi="Times New Roman"/>
          <w:color w:val="auto"/>
          <w:highlight w:val="none"/>
        </w:rPr>
      </w:pPr>
      <w:r>
        <w:rPr>
          <w:rFonts w:ascii="Times New Roman" w:hAnsi="Times New Roman"/>
          <w:color w:val="auto"/>
          <w:highlight w:val="none"/>
        </w:rPr>
        <w:t>3.7 其他要求详见招标文件。</w:t>
      </w:r>
    </w:p>
    <w:p>
      <w:pPr>
        <w:keepLines w:val="0"/>
        <w:pageBreakBefore w:val="0"/>
        <w:kinsoku/>
        <w:wordWrap/>
        <w:overflowPunct/>
        <w:topLinePunct w:val="0"/>
        <w:autoSpaceDE/>
        <w:bidi w:val="0"/>
        <w:adjustRightInd w:val="0"/>
        <w:snapToGrid w:val="0"/>
        <w:spacing w:line="500" w:lineRule="exact"/>
        <w:textAlignment w:val="auto"/>
        <w:rPr>
          <w:rFonts w:ascii="Times New Roman" w:hAnsi="Times New Roman"/>
          <w:b/>
          <w:bCs/>
          <w:color w:val="auto"/>
          <w:szCs w:val="21"/>
          <w:highlight w:val="none"/>
        </w:rPr>
      </w:pPr>
      <w:r>
        <w:rPr>
          <w:rFonts w:ascii="Times New Roman" w:hAnsi="Times New Roman"/>
          <w:b/>
          <w:bCs/>
          <w:color w:val="auto"/>
          <w:szCs w:val="21"/>
          <w:highlight w:val="none"/>
        </w:rPr>
        <w:t>4.资格审查方式及评标办法</w:t>
      </w:r>
    </w:p>
    <w:p>
      <w:pPr>
        <w:keepLines w:val="0"/>
        <w:pageBreakBefore w:val="0"/>
        <w:kinsoku/>
        <w:wordWrap/>
        <w:overflowPunct/>
        <w:topLinePunct w:val="0"/>
        <w:autoSpaceDE/>
        <w:bidi w:val="0"/>
        <w:adjustRightInd w:val="0"/>
        <w:snapToGrid w:val="0"/>
        <w:spacing w:line="500" w:lineRule="exact"/>
        <w:ind w:firstLine="420" w:firstLineChars="200"/>
        <w:textAlignment w:val="auto"/>
        <w:rPr>
          <w:rFonts w:ascii="Times New Roman" w:hAnsi="Times New Roman"/>
          <w:color w:val="auto"/>
          <w:szCs w:val="21"/>
          <w:highlight w:val="none"/>
        </w:rPr>
      </w:pPr>
      <w:r>
        <w:rPr>
          <w:rFonts w:ascii="Times New Roman" w:hAnsi="Times New Roman"/>
          <w:color w:val="auto"/>
          <w:szCs w:val="21"/>
          <w:highlight w:val="none"/>
        </w:rPr>
        <w:t>4.1本项目采用资格后审，资格审查合格的投标人均为入围投标人。</w:t>
      </w:r>
    </w:p>
    <w:p>
      <w:pPr>
        <w:keepLines w:val="0"/>
        <w:pageBreakBefore w:val="0"/>
        <w:kinsoku/>
        <w:wordWrap/>
        <w:overflowPunct/>
        <w:topLinePunct w:val="0"/>
        <w:autoSpaceDE/>
        <w:bidi w:val="0"/>
        <w:adjustRightInd w:val="0"/>
        <w:snapToGrid w:val="0"/>
        <w:spacing w:line="500" w:lineRule="exact"/>
        <w:ind w:firstLine="420" w:firstLineChars="200"/>
        <w:textAlignment w:val="auto"/>
        <w:rPr>
          <w:rFonts w:ascii="Times New Roman" w:hAnsi="Times New Roman"/>
          <w:color w:val="auto"/>
          <w:szCs w:val="21"/>
          <w:highlight w:val="none"/>
        </w:rPr>
      </w:pPr>
      <w:r>
        <w:rPr>
          <w:rFonts w:ascii="Times New Roman" w:hAnsi="Times New Roman"/>
          <w:color w:val="auto"/>
          <w:szCs w:val="21"/>
          <w:highlight w:val="none"/>
        </w:rPr>
        <w:t>4.2评标办法：采用湖南省住建厅湘建监督[2018]240号文中的综合评估法。</w:t>
      </w:r>
    </w:p>
    <w:p>
      <w:pPr>
        <w:keepLines w:val="0"/>
        <w:pageBreakBefore w:val="0"/>
        <w:kinsoku/>
        <w:wordWrap/>
        <w:overflowPunct/>
        <w:topLinePunct w:val="0"/>
        <w:autoSpaceDE/>
        <w:bidi w:val="0"/>
        <w:adjustRightInd w:val="0"/>
        <w:snapToGrid w:val="0"/>
        <w:spacing w:line="500" w:lineRule="exact"/>
        <w:textAlignment w:val="auto"/>
        <w:rPr>
          <w:rFonts w:ascii="Times New Roman" w:hAnsi="Times New Roman"/>
          <w:b/>
          <w:bCs/>
          <w:color w:val="auto"/>
          <w:szCs w:val="21"/>
          <w:highlight w:val="none"/>
        </w:rPr>
      </w:pPr>
      <w:r>
        <w:rPr>
          <w:rFonts w:ascii="Times New Roman" w:hAnsi="Times New Roman"/>
          <w:b/>
          <w:bCs/>
          <w:color w:val="auto"/>
          <w:szCs w:val="21"/>
          <w:highlight w:val="none"/>
        </w:rPr>
        <w:t>5.招标文件的获取及澄清答疑发布</w:t>
      </w:r>
    </w:p>
    <w:p>
      <w:pPr>
        <w:keepLines w:val="0"/>
        <w:pageBreakBefore w:val="0"/>
        <w:kinsoku/>
        <w:wordWrap/>
        <w:overflowPunct/>
        <w:topLinePunct w:val="0"/>
        <w:autoSpaceDE/>
        <w:bidi w:val="0"/>
        <w:adjustRightInd w:val="0"/>
        <w:snapToGrid w:val="0"/>
        <w:spacing w:line="500" w:lineRule="exact"/>
        <w:ind w:right="-334" w:rightChars="-159" w:firstLine="420" w:firstLineChars="200"/>
        <w:textAlignment w:val="auto"/>
        <w:rPr>
          <w:rFonts w:ascii="Times New Roman" w:hAnsi="Times New Roman"/>
          <w:color w:val="auto"/>
          <w:szCs w:val="21"/>
          <w:highlight w:val="none"/>
        </w:rPr>
      </w:pPr>
      <w:r>
        <w:rPr>
          <w:rFonts w:ascii="Times New Roman" w:hAnsi="Times New Roman"/>
          <w:color w:val="auto"/>
          <w:szCs w:val="21"/>
          <w:highlight w:val="none"/>
        </w:rPr>
        <w:t>5.1凡有意参加投标者，请从2019年</w:t>
      </w:r>
      <w:r>
        <w:rPr>
          <w:rStyle w:val="23"/>
          <w:rFonts w:ascii="Times New Roman" w:hAnsi="Times New Roman"/>
          <w:bCs/>
          <w:color w:val="auto"/>
          <w:highlight w:val="none"/>
          <w:u w:val="single"/>
        </w:rPr>
        <w:t xml:space="preserve"> </w:t>
      </w:r>
      <w:r>
        <w:rPr>
          <w:rStyle w:val="23"/>
          <w:rFonts w:hint="eastAsia" w:ascii="Times New Roman" w:hAnsi="Times New Roman"/>
          <w:bCs/>
          <w:color w:val="auto"/>
          <w:highlight w:val="none"/>
          <w:u w:val="single"/>
          <w:lang w:val="en-US" w:eastAsia="zh-CN"/>
        </w:rPr>
        <w:t>6</w:t>
      </w:r>
      <w:r>
        <w:rPr>
          <w:rStyle w:val="23"/>
          <w:rFonts w:ascii="Times New Roman" w:hAnsi="Times New Roman"/>
          <w:bCs/>
          <w:color w:val="auto"/>
          <w:highlight w:val="none"/>
          <w:u w:val="single"/>
        </w:rPr>
        <w:t xml:space="preserve"> </w:t>
      </w:r>
      <w:r>
        <w:rPr>
          <w:rStyle w:val="23"/>
          <w:rFonts w:ascii="Times New Roman" w:hAnsi="Times New Roman"/>
          <w:bCs/>
          <w:color w:val="auto"/>
          <w:highlight w:val="none"/>
        </w:rPr>
        <w:t>月</w:t>
      </w:r>
      <w:r>
        <w:rPr>
          <w:rStyle w:val="23"/>
          <w:rFonts w:hint="eastAsia" w:ascii="Times New Roman" w:hAnsi="Times New Roman"/>
          <w:bCs/>
          <w:color w:val="auto"/>
          <w:highlight w:val="none"/>
          <w:u w:val="single"/>
          <w:lang w:val="en-US" w:eastAsia="zh-CN"/>
        </w:rPr>
        <w:t>25</w:t>
      </w:r>
      <w:r>
        <w:rPr>
          <w:rStyle w:val="23"/>
          <w:rFonts w:ascii="Times New Roman" w:hAnsi="Times New Roman"/>
          <w:bCs/>
          <w:color w:val="auto"/>
          <w:highlight w:val="none"/>
          <w:u w:val="single"/>
        </w:rPr>
        <w:t xml:space="preserve">  </w:t>
      </w:r>
      <w:r>
        <w:rPr>
          <w:rStyle w:val="23"/>
          <w:rFonts w:ascii="Times New Roman" w:hAnsi="Times New Roman"/>
          <w:bCs/>
          <w:color w:val="auto"/>
          <w:highlight w:val="none"/>
        </w:rPr>
        <w:t>日</w:t>
      </w:r>
      <w:r>
        <w:rPr>
          <w:rFonts w:ascii="Times New Roman" w:hAnsi="Times New Roman"/>
          <w:color w:val="auto"/>
          <w:highlight w:val="none"/>
        </w:rPr>
        <w:t>～</w:t>
      </w:r>
      <w:r>
        <w:rPr>
          <w:rStyle w:val="23"/>
          <w:rFonts w:ascii="Times New Roman" w:hAnsi="Times New Roman"/>
          <w:bCs/>
          <w:color w:val="auto"/>
          <w:highlight w:val="none"/>
        </w:rPr>
        <w:t>2019年</w:t>
      </w:r>
      <w:r>
        <w:rPr>
          <w:rStyle w:val="23"/>
          <w:rFonts w:ascii="Times New Roman" w:hAnsi="Times New Roman"/>
          <w:bCs/>
          <w:color w:val="auto"/>
          <w:highlight w:val="none"/>
          <w:u w:val="single"/>
        </w:rPr>
        <w:t xml:space="preserve"> </w:t>
      </w:r>
      <w:r>
        <w:rPr>
          <w:rStyle w:val="23"/>
          <w:rFonts w:hint="eastAsia" w:ascii="Times New Roman" w:hAnsi="Times New Roman"/>
          <w:bCs/>
          <w:color w:val="auto"/>
          <w:highlight w:val="none"/>
          <w:u w:val="single"/>
          <w:lang w:val="en-US" w:eastAsia="zh-CN"/>
        </w:rPr>
        <w:t>7</w:t>
      </w:r>
      <w:r>
        <w:rPr>
          <w:rStyle w:val="23"/>
          <w:rFonts w:ascii="Times New Roman" w:hAnsi="Times New Roman"/>
          <w:bCs/>
          <w:color w:val="auto"/>
          <w:highlight w:val="none"/>
          <w:u w:val="single"/>
        </w:rPr>
        <w:t xml:space="preserve"> </w:t>
      </w:r>
      <w:r>
        <w:rPr>
          <w:rStyle w:val="23"/>
          <w:rFonts w:ascii="Times New Roman" w:hAnsi="Times New Roman"/>
          <w:bCs/>
          <w:color w:val="auto"/>
          <w:highlight w:val="none"/>
        </w:rPr>
        <w:t>月</w:t>
      </w:r>
      <w:r>
        <w:rPr>
          <w:rStyle w:val="23"/>
          <w:rFonts w:ascii="Times New Roman" w:hAnsi="Times New Roman"/>
          <w:bCs/>
          <w:color w:val="auto"/>
          <w:highlight w:val="none"/>
          <w:u w:val="single"/>
        </w:rPr>
        <w:t xml:space="preserve"> </w:t>
      </w:r>
      <w:r>
        <w:rPr>
          <w:rStyle w:val="23"/>
          <w:rFonts w:hint="eastAsia" w:ascii="Times New Roman" w:hAnsi="Times New Roman"/>
          <w:bCs/>
          <w:color w:val="auto"/>
          <w:highlight w:val="none"/>
          <w:u w:val="single"/>
          <w:lang w:val="en-US" w:eastAsia="zh-CN"/>
        </w:rPr>
        <w:t>16</w:t>
      </w:r>
      <w:r>
        <w:rPr>
          <w:rStyle w:val="23"/>
          <w:rFonts w:ascii="Times New Roman" w:hAnsi="Times New Roman"/>
          <w:bCs/>
          <w:color w:val="auto"/>
          <w:highlight w:val="none"/>
          <w:u w:val="single"/>
        </w:rPr>
        <w:t xml:space="preserve"> </w:t>
      </w:r>
      <w:r>
        <w:rPr>
          <w:rStyle w:val="23"/>
          <w:rFonts w:ascii="Times New Roman" w:hAnsi="Times New Roman"/>
          <w:bCs/>
          <w:color w:val="auto"/>
          <w:highlight w:val="none"/>
        </w:rPr>
        <w:t>日</w:t>
      </w:r>
      <w:r>
        <w:rPr>
          <w:rFonts w:ascii="Times New Roman" w:hAnsi="Times New Roman"/>
          <w:color w:val="auto"/>
          <w:szCs w:val="21"/>
          <w:highlight w:val="none"/>
          <w:u w:val="single"/>
        </w:rPr>
        <w:t xml:space="preserve"> </w:t>
      </w:r>
      <w:r>
        <w:rPr>
          <w:rFonts w:hint="eastAsia" w:ascii="Times New Roman" w:hAnsi="Times New Roman"/>
          <w:color w:val="auto"/>
          <w:szCs w:val="21"/>
          <w:highlight w:val="none"/>
          <w:u w:val="single"/>
          <w:lang w:val="en-US" w:eastAsia="zh-CN"/>
        </w:rPr>
        <w:t>9</w:t>
      </w:r>
      <w:r>
        <w:rPr>
          <w:rFonts w:ascii="Times New Roman" w:hAnsi="Times New Roman"/>
          <w:color w:val="auto"/>
          <w:szCs w:val="21"/>
          <w:highlight w:val="none"/>
          <w:u w:val="single"/>
        </w:rPr>
        <w:t xml:space="preserve"> </w:t>
      </w:r>
      <w:r>
        <w:rPr>
          <w:rFonts w:ascii="Times New Roman" w:hAnsi="Times New Roman"/>
          <w:color w:val="auto"/>
          <w:szCs w:val="21"/>
          <w:highlight w:val="none"/>
        </w:rPr>
        <w:t>时</w:t>
      </w:r>
      <w:r>
        <w:rPr>
          <w:rFonts w:ascii="Times New Roman" w:hAnsi="Times New Roman"/>
          <w:color w:val="auto"/>
          <w:szCs w:val="21"/>
          <w:highlight w:val="none"/>
          <w:u w:val="single"/>
        </w:rPr>
        <w:t>00</w:t>
      </w:r>
      <w:r>
        <w:rPr>
          <w:rFonts w:ascii="Times New Roman" w:hAnsi="Times New Roman"/>
          <w:color w:val="auto"/>
          <w:szCs w:val="21"/>
          <w:highlight w:val="none"/>
        </w:rPr>
        <w:t>分（北京时间，下同）在株洲市公共资源交易中心（网址：http：//www.zzzyjy.cn）“建设工程—市政工程—招标公告—附件”进行网上下载/获取招标文件。通过网络下载的招标文件与书面招标文件具有同等法律效力。</w:t>
      </w:r>
    </w:p>
    <w:p>
      <w:pPr>
        <w:keepLines w:val="0"/>
        <w:pageBreakBefore w:val="0"/>
        <w:kinsoku/>
        <w:wordWrap/>
        <w:overflowPunct/>
        <w:topLinePunct w:val="0"/>
        <w:autoSpaceDE/>
        <w:bidi w:val="0"/>
        <w:adjustRightInd w:val="0"/>
        <w:snapToGrid w:val="0"/>
        <w:spacing w:line="500" w:lineRule="exact"/>
        <w:ind w:right="-334" w:rightChars="-159"/>
        <w:textAlignment w:val="auto"/>
        <w:rPr>
          <w:rFonts w:ascii="Times New Roman" w:hAnsi="Times New Roman"/>
          <w:color w:val="auto"/>
          <w:szCs w:val="21"/>
          <w:highlight w:val="none"/>
        </w:rPr>
      </w:pPr>
      <w:r>
        <w:rPr>
          <w:rFonts w:ascii="Times New Roman" w:hAnsi="Times New Roman"/>
          <w:color w:val="auto"/>
          <w:szCs w:val="21"/>
          <w:highlight w:val="none"/>
        </w:rPr>
        <w:t xml:space="preserve">    5.2招标文件每套售价400元，一律现金支付，递交投标文件时缴纳。</w:t>
      </w:r>
    </w:p>
    <w:p>
      <w:pPr>
        <w:keepLines w:val="0"/>
        <w:pageBreakBefore w:val="0"/>
        <w:kinsoku/>
        <w:wordWrap/>
        <w:overflowPunct/>
        <w:topLinePunct w:val="0"/>
        <w:autoSpaceDE/>
        <w:bidi w:val="0"/>
        <w:adjustRightInd w:val="0"/>
        <w:snapToGrid w:val="0"/>
        <w:spacing w:line="500" w:lineRule="exact"/>
        <w:ind w:right="-334" w:rightChars="-159" w:firstLine="420" w:firstLineChars="200"/>
        <w:textAlignment w:val="auto"/>
        <w:rPr>
          <w:rFonts w:ascii="Times New Roman" w:hAnsi="Times New Roman"/>
          <w:color w:val="auto"/>
          <w:szCs w:val="21"/>
          <w:highlight w:val="none"/>
        </w:rPr>
      </w:pPr>
      <w:r>
        <w:rPr>
          <w:rFonts w:ascii="Times New Roman" w:hAnsi="Times New Roman"/>
          <w:color w:val="auto"/>
          <w:szCs w:val="21"/>
          <w:highlight w:val="none"/>
        </w:rPr>
        <w:t>5.3澄清答疑采用网上下载方式。招标人对招标文件的澄清答疑均采用在株洲市公共资源交易中心（网址：http：//www.zzzyjy.cn）建设工程—市政工程—招标答疑/澄清公告栏目上发布，投标人自行下载。在投标截止时间前，投标人务必动态关注澄清答疑文件的发布情况。</w:t>
      </w:r>
    </w:p>
    <w:p>
      <w:pPr>
        <w:keepLines w:val="0"/>
        <w:pageBreakBefore w:val="0"/>
        <w:kinsoku/>
        <w:wordWrap/>
        <w:overflowPunct/>
        <w:topLinePunct w:val="0"/>
        <w:autoSpaceDE/>
        <w:bidi w:val="0"/>
        <w:adjustRightInd w:val="0"/>
        <w:snapToGrid w:val="0"/>
        <w:spacing w:line="500" w:lineRule="exact"/>
        <w:ind w:right="-334" w:rightChars="-159" w:firstLine="420" w:firstLineChars="200"/>
        <w:textAlignment w:val="auto"/>
        <w:rPr>
          <w:rFonts w:ascii="Times New Roman" w:hAnsi="Times New Roman"/>
          <w:color w:val="auto"/>
          <w:szCs w:val="21"/>
          <w:highlight w:val="none"/>
        </w:rPr>
      </w:pPr>
      <w:r>
        <w:rPr>
          <w:rFonts w:ascii="Times New Roman" w:hAnsi="Times New Roman"/>
          <w:color w:val="auto"/>
          <w:szCs w:val="21"/>
          <w:highlight w:val="none"/>
        </w:rPr>
        <w:t>5.4 投标人应自行在株洲市公共资源交易中心网上下载/获取招标文件、招标文件的澄清答疑等相关招标资料，恕不另行通知。投标人应及时关注网上相关招标信息，如有遗漏（包括但不限于文件未下载或下载不完整）招标人概不负责，所造成的投标失败或损失由投标人自行负责。</w:t>
      </w:r>
      <w:r>
        <w:rPr>
          <w:rFonts w:ascii="Times New Roman" w:hAnsi="Times New Roman"/>
          <w:color w:val="auto"/>
          <w:kern w:val="0"/>
          <w:sz w:val="24"/>
          <w:highlight w:val="none"/>
        </w:rPr>
        <w:t xml:space="preserve"> </w:t>
      </w:r>
    </w:p>
    <w:p>
      <w:pPr>
        <w:keepLines w:val="0"/>
        <w:pageBreakBefore w:val="0"/>
        <w:kinsoku/>
        <w:wordWrap/>
        <w:overflowPunct/>
        <w:topLinePunct w:val="0"/>
        <w:autoSpaceDE/>
        <w:bidi w:val="0"/>
        <w:adjustRightInd w:val="0"/>
        <w:snapToGrid w:val="0"/>
        <w:spacing w:line="500" w:lineRule="exact"/>
        <w:textAlignment w:val="auto"/>
        <w:rPr>
          <w:rFonts w:ascii="Times New Roman" w:hAnsi="Times New Roman"/>
          <w:b/>
          <w:bCs/>
          <w:color w:val="auto"/>
          <w:szCs w:val="21"/>
          <w:highlight w:val="none"/>
        </w:rPr>
      </w:pPr>
      <w:r>
        <w:rPr>
          <w:rFonts w:ascii="Times New Roman" w:hAnsi="Times New Roman"/>
          <w:b/>
          <w:bCs/>
          <w:color w:val="auto"/>
          <w:szCs w:val="21"/>
          <w:highlight w:val="none"/>
        </w:rPr>
        <w:t>6.投标文件的递交</w:t>
      </w:r>
    </w:p>
    <w:p>
      <w:pPr>
        <w:keepLines w:val="0"/>
        <w:pageBreakBefore w:val="0"/>
        <w:widowControl/>
        <w:kinsoku/>
        <w:wordWrap/>
        <w:overflowPunct/>
        <w:topLinePunct w:val="0"/>
        <w:autoSpaceDE/>
        <w:bidi w:val="0"/>
        <w:adjustRightInd w:val="0"/>
        <w:snapToGrid w:val="0"/>
        <w:spacing w:line="500" w:lineRule="exact"/>
        <w:ind w:left="210" w:hanging="210" w:hangingChars="100"/>
        <w:jc w:val="left"/>
        <w:textAlignment w:val="auto"/>
        <w:rPr>
          <w:rFonts w:ascii="Times New Roman" w:hAnsi="Times New Roman"/>
          <w:color w:val="auto"/>
          <w:szCs w:val="21"/>
          <w:highlight w:val="none"/>
        </w:rPr>
      </w:pPr>
      <w:r>
        <w:rPr>
          <w:rFonts w:ascii="Times New Roman" w:hAnsi="Times New Roman"/>
          <w:color w:val="auto"/>
          <w:szCs w:val="21"/>
          <w:highlight w:val="none"/>
        </w:rPr>
        <w:t xml:space="preserve">    6.1投标文件递交的截止时间（简称“投标截止时间”，下同）及开标时间为2019年</w:t>
      </w:r>
      <w:r>
        <w:rPr>
          <w:rStyle w:val="23"/>
          <w:rFonts w:ascii="Times New Roman" w:hAnsi="Times New Roman"/>
          <w:bCs/>
          <w:color w:val="auto"/>
          <w:highlight w:val="none"/>
          <w:u w:val="single"/>
        </w:rPr>
        <w:t xml:space="preserve"> </w:t>
      </w:r>
      <w:r>
        <w:rPr>
          <w:rStyle w:val="23"/>
          <w:rFonts w:hint="eastAsia" w:ascii="Times New Roman" w:hAnsi="Times New Roman"/>
          <w:bCs/>
          <w:color w:val="auto"/>
          <w:highlight w:val="none"/>
          <w:u w:val="single"/>
          <w:lang w:val="en-US" w:eastAsia="zh-CN"/>
        </w:rPr>
        <w:t>7</w:t>
      </w:r>
      <w:r>
        <w:rPr>
          <w:rStyle w:val="23"/>
          <w:rFonts w:ascii="Times New Roman" w:hAnsi="Times New Roman"/>
          <w:bCs/>
          <w:color w:val="auto"/>
          <w:highlight w:val="none"/>
          <w:u w:val="single"/>
        </w:rPr>
        <w:t xml:space="preserve"> </w:t>
      </w:r>
      <w:r>
        <w:rPr>
          <w:rStyle w:val="23"/>
          <w:rFonts w:ascii="Times New Roman" w:hAnsi="Times New Roman"/>
          <w:bCs/>
          <w:color w:val="auto"/>
          <w:highlight w:val="none"/>
        </w:rPr>
        <w:t>月</w:t>
      </w:r>
      <w:r>
        <w:rPr>
          <w:rStyle w:val="23"/>
          <w:rFonts w:ascii="Times New Roman" w:hAnsi="Times New Roman"/>
          <w:bCs/>
          <w:color w:val="auto"/>
          <w:highlight w:val="none"/>
          <w:u w:val="single"/>
        </w:rPr>
        <w:t xml:space="preserve"> </w:t>
      </w:r>
      <w:r>
        <w:rPr>
          <w:rStyle w:val="23"/>
          <w:rFonts w:hint="eastAsia" w:ascii="Times New Roman" w:hAnsi="Times New Roman"/>
          <w:bCs/>
          <w:color w:val="auto"/>
          <w:highlight w:val="none"/>
          <w:u w:val="single"/>
          <w:lang w:val="en-US" w:eastAsia="zh-CN"/>
        </w:rPr>
        <w:t>16</w:t>
      </w:r>
      <w:r>
        <w:rPr>
          <w:rStyle w:val="23"/>
          <w:rFonts w:ascii="Times New Roman" w:hAnsi="Times New Roman"/>
          <w:bCs/>
          <w:color w:val="auto"/>
          <w:highlight w:val="none"/>
          <w:u w:val="single"/>
        </w:rPr>
        <w:t xml:space="preserve">  </w:t>
      </w:r>
      <w:r>
        <w:rPr>
          <w:rStyle w:val="23"/>
          <w:rFonts w:ascii="Times New Roman" w:hAnsi="Times New Roman"/>
          <w:bCs/>
          <w:color w:val="auto"/>
          <w:highlight w:val="none"/>
        </w:rPr>
        <w:t>日</w:t>
      </w:r>
      <w:r>
        <w:rPr>
          <w:rFonts w:ascii="Times New Roman" w:hAnsi="Times New Roman"/>
          <w:color w:val="auto"/>
          <w:szCs w:val="21"/>
          <w:highlight w:val="none"/>
          <w:u w:val="single"/>
        </w:rPr>
        <w:t xml:space="preserve"> </w:t>
      </w:r>
      <w:r>
        <w:rPr>
          <w:rFonts w:hint="eastAsia" w:ascii="Times New Roman" w:hAnsi="Times New Roman"/>
          <w:color w:val="auto"/>
          <w:szCs w:val="21"/>
          <w:highlight w:val="none"/>
          <w:u w:val="single"/>
          <w:lang w:val="en-US" w:eastAsia="zh-CN"/>
        </w:rPr>
        <w:t>9</w:t>
      </w:r>
      <w:r>
        <w:rPr>
          <w:rFonts w:ascii="Times New Roman" w:hAnsi="Times New Roman"/>
          <w:color w:val="auto"/>
          <w:szCs w:val="21"/>
          <w:highlight w:val="none"/>
          <w:u w:val="single"/>
        </w:rPr>
        <w:t xml:space="preserve"> </w:t>
      </w:r>
      <w:r>
        <w:rPr>
          <w:rFonts w:ascii="Times New Roman" w:hAnsi="Times New Roman"/>
          <w:color w:val="auto"/>
          <w:szCs w:val="21"/>
          <w:highlight w:val="none"/>
        </w:rPr>
        <w:t>时</w:t>
      </w:r>
      <w:r>
        <w:rPr>
          <w:rFonts w:ascii="Times New Roman" w:hAnsi="Times New Roman"/>
          <w:color w:val="auto"/>
          <w:szCs w:val="21"/>
          <w:highlight w:val="none"/>
          <w:u w:val="single"/>
        </w:rPr>
        <w:t>00</w:t>
      </w:r>
      <w:r>
        <w:rPr>
          <w:rFonts w:ascii="Times New Roman" w:hAnsi="Times New Roman"/>
          <w:color w:val="auto"/>
          <w:szCs w:val="21"/>
          <w:highlight w:val="none"/>
        </w:rPr>
        <w:t>分（北京时间），地点为株洲市公共资源交易中心六楼开标室（株洲市天元区牛家牌路111号）。</w:t>
      </w:r>
      <w:r>
        <w:rPr>
          <w:rFonts w:ascii="Times New Roman" w:hAnsi="Times New Roman"/>
          <w:color w:val="auto"/>
          <w:szCs w:val="21"/>
          <w:highlight w:val="none"/>
        </w:rPr>
        <w:br w:type="textWrapping"/>
      </w:r>
      <w:r>
        <w:rPr>
          <w:rFonts w:ascii="Times New Roman" w:hAnsi="Times New Roman"/>
          <w:color w:val="auto"/>
          <w:szCs w:val="21"/>
          <w:highlight w:val="none"/>
        </w:rPr>
        <w:t xml:space="preserve">  6.2逾期送达的或者未送达指定地点或未按要求密封的投标文件，招标人不予受理。</w:t>
      </w:r>
    </w:p>
    <w:p>
      <w:pPr>
        <w:keepLines w:val="0"/>
        <w:pageBreakBefore w:val="0"/>
        <w:widowControl/>
        <w:kinsoku/>
        <w:wordWrap/>
        <w:overflowPunct/>
        <w:topLinePunct w:val="0"/>
        <w:autoSpaceDE/>
        <w:bidi w:val="0"/>
        <w:adjustRightInd w:val="0"/>
        <w:snapToGrid w:val="0"/>
        <w:spacing w:line="500" w:lineRule="exact"/>
        <w:ind w:firstLine="420" w:firstLineChars="200"/>
        <w:jc w:val="left"/>
        <w:textAlignment w:val="auto"/>
        <w:rPr>
          <w:rFonts w:ascii="Times New Roman" w:hAnsi="Times New Roman"/>
          <w:color w:val="auto"/>
          <w:szCs w:val="21"/>
          <w:highlight w:val="none"/>
        </w:rPr>
      </w:pPr>
      <w:r>
        <w:rPr>
          <w:rFonts w:ascii="Times New Roman" w:hAnsi="Times New Roman"/>
          <w:color w:val="auto"/>
          <w:szCs w:val="21"/>
          <w:highlight w:val="none"/>
        </w:rPr>
        <w:t>6.3 投标人法定代表人或委托代理人（授权委托代理人必须为拟任本项目的总监理工程师）须亲自到场参加投标。否则，视为不合格投标人。</w:t>
      </w:r>
    </w:p>
    <w:p>
      <w:pPr>
        <w:keepLines w:val="0"/>
        <w:pageBreakBefore w:val="0"/>
        <w:kinsoku/>
        <w:wordWrap/>
        <w:overflowPunct/>
        <w:topLinePunct w:val="0"/>
        <w:autoSpaceDE/>
        <w:bidi w:val="0"/>
        <w:adjustRightInd w:val="0"/>
        <w:snapToGrid w:val="0"/>
        <w:spacing w:line="500" w:lineRule="exact"/>
        <w:textAlignment w:val="auto"/>
        <w:rPr>
          <w:rFonts w:ascii="Times New Roman" w:hAnsi="Times New Roman"/>
          <w:b/>
          <w:bCs/>
          <w:color w:val="auto"/>
          <w:szCs w:val="21"/>
          <w:highlight w:val="none"/>
        </w:rPr>
      </w:pPr>
      <w:r>
        <w:rPr>
          <w:rFonts w:ascii="Times New Roman" w:hAnsi="Times New Roman"/>
          <w:b/>
          <w:bCs/>
          <w:color w:val="auto"/>
          <w:szCs w:val="21"/>
          <w:highlight w:val="none"/>
        </w:rPr>
        <w:t>7.发布公告的媒介</w:t>
      </w:r>
    </w:p>
    <w:p>
      <w:pPr>
        <w:keepLines w:val="0"/>
        <w:pageBreakBefore w:val="0"/>
        <w:kinsoku/>
        <w:wordWrap/>
        <w:overflowPunct/>
        <w:topLinePunct w:val="0"/>
        <w:autoSpaceDE/>
        <w:bidi w:val="0"/>
        <w:adjustRightInd w:val="0"/>
        <w:snapToGrid w:val="0"/>
        <w:spacing w:line="500" w:lineRule="exact"/>
        <w:textAlignment w:val="auto"/>
        <w:rPr>
          <w:rFonts w:ascii="Times New Roman" w:hAnsi="Times New Roman"/>
          <w:color w:val="auto"/>
          <w:szCs w:val="21"/>
          <w:highlight w:val="none"/>
        </w:rPr>
      </w:pPr>
      <w:r>
        <w:rPr>
          <w:rFonts w:ascii="Times New Roman" w:hAnsi="Times New Roman"/>
          <w:color w:val="auto"/>
          <w:szCs w:val="21"/>
          <w:highlight w:val="none"/>
        </w:rPr>
        <w:t xml:space="preserve">    本招标公告同时在《中国采购与招标网》、《湖南省招标投标监管网》、《株洲市公共资源交易中心》（网址：http://www.zzzyjy.cn）上发布。</w:t>
      </w:r>
    </w:p>
    <w:p>
      <w:pPr>
        <w:keepLines w:val="0"/>
        <w:pageBreakBefore w:val="0"/>
        <w:kinsoku/>
        <w:wordWrap/>
        <w:overflowPunct/>
        <w:topLinePunct w:val="0"/>
        <w:autoSpaceDE/>
        <w:bidi w:val="0"/>
        <w:adjustRightInd w:val="0"/>
        <w:snapToGrid w:val="0"/>
        <w:spacing w:line="500" w:lineRule="exact"/>
        <w:textAlignment w:val="auto"/>
        <w:rPr>
          <w:rFonts w:ascii="Times New Roman" w:hAnsi="Times New Roman"/>
          <w:b/>
          <w:bCs/>
          <w:color w:val="auto"/>
          <w:szCs w:val="21"/>
          <w:highlight w:val="none"/>
        </w:rPr>
      </w:pPr>
      <w:r>
        <w:rPr>
          <w:rFonts w:ascii="Times New Roman" w:hAnsi="Times New Roman"/>
          <w:b/>
          <w:bCs/>
          <w:color w:val="auto"/>
          <w:szCs w:val="21"/>
          <w:highlight w:val="none"/>
        </w:rPr>
        <w:t>8.行政监督</w:t>
      </w:r>
    </w:p>
    <w:p>
      <w:pPr>
        <w:keepLines w:val="0"/>
        <w:pageBreakBefore w:val="0"/>
        <w:widowControl/>
        <w:kinsoku/>
        <w:wordWrap/>
        <w:overflowPunct/>
        <w:topLinePunct w:val="0"/>
        <w:autoSpaceDE/>
        <w:bidi w:val="0"/>
        <w:adjustRightInd w:val="0"/>
        <w:snapToGrid w:val="0"/>
        <w:spacing w:line="500" w:lineRule="exact"/>
        <w:ind w:firstLine="420"/>
        <w:jc w:val="left"/>
        <w:textAlignment w:val="auto"/>
        <w:rPr>
          <w:rFonts w:ascii="Times New Roman" w:hAnsi="Times New Roman"/>
          <w:color w:val="auto"/>
          <w:szCs w:val="21"/>
          <w:highlight w:val="none"/>
        </w:rPr>
      </w:pPr>
      <w:r>
        <w:rPr>
          <w:rFonts w:ascii="Times New Roman" w:hAnsi="Times New Roman"/>
          <w:color w:val="auto"/>
          <w:szCs w:val="21"/>
          <w:highlight w:val="none"/>
        </w:rPr>
        <w:t xml:space="preserve">本次招标项目接受株洲市住房和城乡建设局依法实施的行政监督。电话0731-28686070。  </w:t>
      </w:r>
    </w:p>
    <w:p>
      <w:pPr>
        <w:keepLines w:val="0"/>
        <w:pageBreakBefore w:val="0"/>
        <w:kinsoku/>
        <w:wordWrap/>
        <w:overflowPunct/>
        <w:topLinePunct w:val="0"/>
        <w:autoSpaceDE/>
        <w:bidi w:val="0"/>
        <w:adjustRightInd w:val="0"/>
        <w:snapToGrid w:val="0"/>
        <w:spacing w:line="500" w:lineRule="exact"/>
        <w:textAlignment w:val="auto"/>
        <w:rPr>
          <w:rFonts w:ascii="Times New Roman" w:hAnsi="Times New Roman"/>
          <w:b/>
          <w:bCs/>
          <w:color w:val="auto"/>
          <w:szCs w:val="21"/>
          <w:highlight w:val="none"/>
        </w:rPr>
      </w:pPr>
      <w:r>
        <w:rPr>
          <w:rFonts w:ascii="Times New Roman" w:hAnsi="Times New Roman"/>
          <w:b/>
          <w:bCs/>
          <w:color w:val="auto"/>
          <w:szCs w:val="21"/>
          <w:highlight w:val="none"/>
        </w:rPr>
        <w:t>9.联系方式</w:t>
      </w:r>
    </w:p>
    <w:p>
      <w:pPr>
        <w:keepLines w:val="0"/>
        <w:pageBreakBefore w:val="0"/>
        <w:kinsoku/>
        <w:wordWrap/>
        <w:overflowPunct/>
        <w:topLinePunct w:val="0"/>
        <w:autoSpaceDE/>
        <w:autoSpaceDN w:val="0"/>
        <w:bidi w:val="0"/>
        <w:snapToGrid w:val="0"/>
        <w:spacing w:line="500" w:lineRule="exact"/>
        <w:ind w:right="-334" w:rightChars="-159" w:firstLine="420" w:firstLineChars="200"/>
        <w:jc w:val="left"/>
        <w:textAlignment w:val="auto"/>
        <w:rPr>
          <w:rFonts w:hint="default" w:ascii="Times New Roman" w:hAnsi="Times New Roman" w:eastAsia="宋体"/>
          <w:color w:val="auto"/>
          <w:highlight w:val="none"/>
          <w:lang w:val="en-US" w:eastAsia="zh-CN"/>
        </w:rPr>
      </w:pPr>
      <w:r>
        <w:rPr>
          <w:rFonts w:ascii="Times New Roman" w:hAnsi="Times New Roman"/>
          <w:bCs/>
          <w:color w:val="auto"/>
          <w:highlight w:val="none"/>
        </w:rPr>
        <w:t>招标单位：株洲市清水塘投资集团有限公司</w:t>
      </w:r>
      <w:r>
        <w:rPr>
          <w:rFonts w:hint="eastAsia" w:ascii="Times New Roman" w:hAnsi="Times New Roman"/>
          <w:color w:val="auto"/>
          <w:highlight w:val="none"/>
          <w:lang w:val="en-US" w:eastAsia="zh-CN"/>
        </w:rPr>
        <w:t xml:space="preserve">  </w:t>
      </w:r>
    </w:p>
    <w:p>
      <w:pPr>
        <w:keepLines w:val="0"/>
        <w:pageBreakBefore w:val="0"/>
        <w:kinsoku/>
        <w:wordWrap/>
        <w:overflowPunct/>
        <w:topLinePunct w:val="0"/>
        <w:autoSpaceDE/>
        <w:bidi w:val="0"/>
        <w:spacing w:line="500" w:lineRule="exact"/>
        <w:ind w:firstLine="420" w:firstLineChars="200"/>
        <w:textAlignment w:val="auto"/>
        <w:rPr>
          <w:rFonts w:ascii="Times New Roman" w:hAnsi="Times New Roman"/>
          <w:color w:val="auto"/>
          <w:highlight w:val="none"/>
        </w:rPr>
      </w:pPr>
      <w:r>
        <w:rPr>
          <w:rFonts w:ascii="Times New Roman" w:hAnsi="Times New Roman"/>
          <w:color w:val="auto"/>
          <w:highlight w:val="none"/>
        </w:rPr>
        <w:t xml:space="preserve">联 系 人：姚女士   </w:t>
      </w:r>
    </w:p>
    <w:p>
      <w:pPr>
        <w:keepLines w:val="0"/>
        <w:pageBreakBefore w:val="0"/>
        <w:kinsoku/>
        <w:wordWrap/>
        <w:overflowPunct/>
        <w:topLinePunct w:val="0"/>
        <w:autoSpaceDE/>
        <w:bidi w:val="0"/>
        <w:spacing w:line="500" w:lineRule="exact"/>
        <w:ind w:firstLine="420" w:firstLineChars="200"/>
        <w:textAlignment w:val="auto"/>
        <w:rPr>
          <w:rFonts w:hint="default" w:ascii="Times New Roman" w:hAnsi="Times New Roman" w:eastAsia="宋体"/>
          <w:color w:val="auto"/>
          <w:highlight w:val="none"/>
          <w:lang w:val="en-US" w:eastAsia="zh-CN"/>
        </w:rPr>
      </w:pPr>
      <w:r>
        <w:rPr>
          <w:rFonts w:ascii="Times New Roman" w:hAnsi="Times New Roman"/>
          <w:color w:val="auto"/>
          <w:highlight w:val="none"/>
        </w:rPr>
        <w:t>联系电话：</w:t>
      </w:r>
      <w:r>
        <w:rPr>
          <w:rFonts w:hint="eastAsia" w:ascii="Times New Roman" w:hAnsi="Times New Roman"/>
          <w:color w:val="auto"/>
          <w:highlight w:val="none"/>
          <w:lang w:val="en-US" w:eastAsia="zh-CN"/>
        </w:rPr>
        <w:t>0731-27595290</w:t>
      </w:r>
    </w:p>
    <w:p>
      <w:pPr>
        <w:keepLines w:val="0"/>
        <w:pageBreakBefore w:val="0"/>
        <w:kinsoku/>
        <w:wordWrap/>
        <w:overflowPunct/>
        <w:topLinePunct w:val="0"/>
        <w:autoSpaceDE/>
        <w:bidi w:val="0"/>
        <w:spacing w:line="500" w:lineRule="exact"/>
        <w:ind w:firstLine="210" w:firstLineChars="100"/>
        <w:textAlignment w:val="auto"/>
        <w:rPr>
          <w:rFonts w:ascii="Times New Roman" w:hAnsi="Times New Roman"/>
          <w:color w:val="auto"/>
          <w:highlight w:val="none"/>
        </w:rPr>
      </w:pPr>
      <w:r>
        <w:rPr>
          <w:rFonts w:ascii="Times New Roman" w:hAnsi="Times New Roman"/>
          <w:color w:val="auto"/>
          <w:highlight w:val="none"/>
        </w:rPr>
        <w:t xml:space="preserve">  地    址：株洲市石峰区铜霞路霞湾新城 </w:t>
      </w:r>
    </w:p>
    <w:p>
      <w:pPr>
        <w:keepLines w:val="0"/>
        <w:pageBreakBefore w:val="0"/>
        <w:kinsoku/>
        <w:wordWrap/>
        <w:overflowPunct/>
        <w:topLinePunct w:val="0"/>
        <w:autoSpaceDE/>
        <w:autoSpaceDN w:val="0"/>
        <w:bidi w:val="0"/>
        <w:adjustRightInd w:val="0"/>
        <w:snapToGrid w:val="0"/>
        <w:spacing w:line="500" w:lineRule="exact"/>
        <w:ind w:right="-334" w:rightChars="-159" w:firstLine="420" w:firstLineChars="200"/>
        <w:jc w:val="left"/>
        <w:textAlignment w:val="auto"/>
        <w:rPr>
          <w:rFonts w:ascii="Times New Roman" w:hAnsi="Times New Roman"/>
          <w:color w:val="auto"/>
          <w:highlight w:val="none"/>
        </w:rPr>
      </w:pPr>
      <w:r>
        <w:rPr>
          <w:rFonts w:ascii="Times New Roman" w:hAnsi="Times New Roman"/>
          <w:color w:val="auto"/>
          <w:highlight w:val="none"/>
        </w:rPr>
        <w:t>招标代理机构：湖南新泉工程造价咨询有限公司</w:t>
      </w:r>
    </w:p>
    <w:p>
      <w:pPr>
        <w:keepLines w:val="0"/>
        <w:pageBreakBefore w:val="0"/>
        <w:kinsoku/>
        <w:wordWrap/>
        <w:overflowPunct/>
        <w:topLinePunct w:val="0"/>
        <w:autoSpaceDE/>
        <w:autoSpaceDN w:val="0"/>
        <w:bidi w:val="0"/>
        <w:adjustRightInd w:val="0"/>
        <w:snapToGrid w:val="0"/>
        <w:spacing w:line="500" w:lineRule="exact"/>
        <w:ind w:right="-334" w:rightChars="-159" w:firstLine="420" w:firstLineChars="200"/>
        <w:jc w:val="left"/>
        <w:textAlignment w:val="auto"/>
        <w:rPr>
          <w:rFonts w:ascii="Times New Roman" w:hAnsi="Times New Roman"/>
          <w:color w:val="auto"/>
          <w:highlight w:val="none"/>
        </w:rPr>
      </w:pPr>
      <w:r>
        <w:rPr>
          <w:rFonts w:ascii="Times New Roman" w:hAnsi="Times New Roman"/>
          <w:color w:val="auto"/>
          <w:highlight w:val="none"/>
        </w:rPr>
        <w:t>地    址：株洲市天元区庐山路华晨大拇指商业广场公寓楼2401</w:t>
      </w:r>
    </w:p>
    <w:p>
      <w:pPr>
        <w:keepLines w:val="0"/>
        <w:pageBreakBefore w:val="0"/>
        <w:kinsoku/>
        <w:wordWrap/>
        <w:overflowPunct/>
        <w:topLinePunct w:val="0"/>
        <w:autoSpaceDE/>
        <w:autoSpaceDN w:val="0"/>
        <w:bidi w:val="0"/>
        <w:adjustRightInd w:val="0"/>
        <w:snapToGrid w:val="0"/>
        <w:spacing w:line="500" w:lineRule="exact"/>
        <w:ind w:right="-334" w:rightChars="-159" w:firstLine="420" w:firstLineChars="200"/>
        <w:jc w:val="left"/>
        <w:textAlignment w:val="auto"/>
        <w:rPr>
          <w:rFonts w:ascii="Times New Roman" w:hAnsi="Times New Roman"/>
          <w:color w:val="auto"/>
          <w:highlight w:val="none"/>
        </w:rPr>
      </w:pPr>
      <w:r>
        <w:rPr>
          <w:rFonts w:ascii="Times New Roman" w:hAnsi="Times New Roman"/>
          <w:color w:val="auto"/>
          <w:highlight w:val="none"/>
        </w:rPr>
        <w:t xml:space="preserve">联 系 人：罗思   </w:t>
      </w:r>
    </w:p>
    <w:p>
      <w:pPr>
        <w:keepLines w:val="0"/>
        <w:pageBreakBefore w:val="0"/>
        <w:kinsoku/>
        <w:wordWrap/>
        <w:overflowPunct/>
        <w:topLinePunct w:val="0"/>
        <w:autoSpaceDE/>
        <w:autoSpaceDN w:val="0"/>
        <w:bidi w:val="0"/>
        <w:adjustRightInd w:val="0"/>
        <w:snapToGrid w:val="0"/>
        <w:spacing w:line="500" w:lineRule="exact"/>
        <w:ind w:right="-334" w:rightChars="-159" w:firstLine="420" w:firstLineChars="200"/>
        <w:jc w:val="left"/>
        <w:textAlignment w:val="auto"/>
        <w:rPr>
          <w:rFonts w:ascii="Times New Roman" w:hAnsi="Times New Roman"/>
          <w:color w:val="auto"/>
          <w:highlight w:val="none"/>
        </w:rPr>
      </w:pPr>
      <w:r>
        <w:rPr>
          <w:rFonts w:ascii="Times New Roman" w:hAnsi="Times New Roman"/>
          <w:color w:val="auto"/>
          <w:highlight w:val="none"/>
        </w:rPr>
        <w:t>电    话：15096304136</w:t>
      </w:r>
    </w:p>
    <w:p>
      <w:pPr>
        <w:pStyle w:val="5"/>
        <w:keepLines w:val="0"/>
        <w:pageBreakBefore w:val="0"/>
        <w:widowControl/>
        <w:kinsoku/>
        <w:wordWrap/>
        <w:overflowPunct/>
        <w:topLinePunct w:val="0"/>
        <w:autoSpaceDE/>
        <w:autoSpaceDN/>
        <w:bidi w:val="0"/>
        <w:adjustRightInd/>
        <w:spacing w:before="0" w:after="0" w:line="500" w:lineRule="exact"/>
        <w:textAlignment w:val="auto"/>
        <w:rPr>
          <w:rFonts w:ascii="Times New Roman" w:hAnsi="Times New Roman" w:eastAsia="宋体"/>
          <w:bCs w:val="0"/>
          <w:color w:val="auto"/>
          <w:spacing w:val="0"/>
          <w:kern w:val="0"/>
          <w:szCs w:val="36"/>
          <w:highlight w:val="none"/>
        </w:rPr>
      </w:pPr>
      <w:r>
        <w:rPr>
          <w:rFonts w:ascii="Times New Roman" w:hAnsi="Times New Roman" w:eastAsia="宋体"/>
          <w:bCs w:val="0"/>
          <w:color w:val="auto"/>
          <w:spacing w:val="0"/>
          <w:kern w:val="0"/>
          <w:szCs w:val="36"/>
          <w:highlight w:val="none"/>
        </w:rPr>
        <w:br w:type="page"/>
      </w:r>
      <w:bookmarkStart w:id="2" w:name="_Toc509841361"/>
      <w:r>
        <w:rPr>
          <w:rFonts w:ascii="Times New Roman" w:hAnsi="Times New Roman" w:eastAsia="宋体"/>
          <w:bCs w:val="0"/>
          <w:color w:val="auto"/>
          <w:spacing w:val="0"/>
          <w:kern w:val="0"/>
          <w:szCs w:val="36"/>
          <w:highlight w:val="none"/>
        </w:rPr>
        <w:t>第二章  投标须知及投标须知前附表</w:t>
      </w:r>
      <w:bookmarkEnd w:id="2"/>
    </w:p>
    <w:p>
      <w:pPr>
        <w:pStyle w:val="5"/>
        <w:keepLines w:val="0"/>
        <w:pageBreakBefore w:val="0"/>
        <w:widowControl/>
        <w:autoSpaceDE/>
        <w:autoSpaceDN/>
        <w:adjustRightInd/>
        <w:spacing w:before="312" w:beforeLines="100" w:after="0" w:line="400" w:lineRule="exact"/>
        <w:rPr>
          <w:rFonts w:ascii="Times New Roman" w:hAnsi="Times New Roman" w:eastAsia="宋体"/>
          <w:bCs w:val="0"/>
          <w:color w:val="auto"/>
          <w:spacing w:val="0"/>
          <w:kern w:val="0"/>
          <w:szCs w:val="36"/>
          <w:highlight w:val="none"/>
        </w:rPr>
      </w:pPr>
      <w:bookmarkStart w:id="3" w:name="_Toc509841362"/>
      <w:r>
        <w:rPr>
          <w:rFonts w:ascii="Times New Roman" w:hAnsi="Times New Roman" w:eastAsia="宋体"/>
          <w:bCs w:val="0"/>
          <w:color w:val="auto"/>
          <w:spacing w:val="0"/>
          <w:kern w:val="0"/>
          <w:szCs w:val="36"/>
          <w:highlight w:val="none"/>
        </w:rPr>
        <w:t>一、投标须知前附表</w:t>
      </w:r>
      <w:bookmarkEnd w:id="3"/>
    </w:p>
    <w:p>
      <w:pPr>
        <w:rPr>
          <w:rFonts w:ascii="Times New Roman" w:hAnsi="Times New Roman"/>
          <w:color w:val="auto"/>
          <w:highlight w:val="none"/>
        </w:rPr>
      </w:pPr>
    </w:p>
    <w:tbl>
      <w:tblPr>
        <w:tblStyle w:val="18"/>
        <w:tblW w:w="946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769"/>
        <w:gridCol w:w="68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795" w:type="dxa"/>
            <w:vAlign w:val="center"/>
          </w:tcPr>
          <w:p>
            <w:pPr>
              <w:spacing w:line="320" w:lineRule="exact"/>
              <w:rPr>
                <w:rFonts w:ascii="Times New Roman" w:hAnsi="Times New Roman"/>
                <w:color w:val="auto"/>
                <w:sz w:val="24"/>
                <w:highlight w:val="none"/>
              </w:rPr>
            </w:pPr>
            <w:r>
              <w:rPr>
                <w:rFonts w:ascii="Times New Roman" w:hAnsi="Times New Roman"/>
                <w:color w:val="auto"/>
                <w:sz w:val="24"/>
                <w:highlight w:val="none"/>
              </w:rPr>
              <w:t>项号</w:t>
            </w:r>
          </w:p>
        </w:tc>
        <w:tc>
          <w:tcPr>
            <w:tcW w:w="1769" w:type="dxa"/>
            <w:vAlign w:val="center"/>
          </w:tcPr>
          <w:p>
            <w:pPr>
              <w:spacing w:line="320" w:lineRule="exact"/>
              <w:jc w:val="center"/>
              <w:rPr>
                <w:rFonts w:ascii="Times New Roman" w:hAnsi="Times New Roman"/>
                <w:color w:val="auto"/>
                <w:sz w:val="24"/>
                <w:highlight w:val="none"/>
              </w:rPr>
            </w:pPr>
            <w:r>
              <w:rPr>
                <w:rFonts w:ascii="Times New Roman" w:hAnsi="Times New Roman"/>
                <w:color w:val="auto"/>
                <w:sz w:val="24"/>
                <w:highlight w:val="none"/>
              </w:rPr>
              <w:t>内    容</w:t>
            </w:r>
          </w:p>
        </w:tc>
        <w:tc>
          <w:tcPr>
            <w:tcW w:w="6898" w:type="dxa"/>
            <w:vAlign w:val="center"/>
          </w:tcPr>
          <w:p>
            <w:pPr>
              <w:tabs>
                <w:tab w:val="left" w:pos="1180"/>
              </w:tabs>
              <w:spacing w:line="320" w:lineRule="exact"/>
              <w:jc w:val="center"/>
              <w:rPr>
                <w:rFonts w:ascii="Times New Roman" w:hAnsi="Times New Roman"/>
                <w:color w:val="auto"/>
                <w:sz w:val="24"/>
                <w:highlight w:val="none"/>
              </w:rPr>
            </w:pPr>
            <w:r>
              <w:rPr>
                <w:rFonts w:ascii="Times New Roman" w:hAnsi="Times New Roman"/>
                <w:color w:val="auto"/>
                <w:sz w:val="24"/>
                <w:highlight w:val="none"/>
              </w:rPr>
              <w:t>说明与要求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工程名称</w:t>
            </w:r>
          </w:p>
        </w:tc>
        <w:tc>
          <w:tcPr>
            <w:tcW w:w="6898" w:type="dxa"/>
            <w:vAlign w:val="center"/>
          </w:tcPr>
          <w:p>
            <w:pPr>
              <w:tabs>
                <w:tab w:val="left" w:pos="900"/>
                <w:tab w:val="left" w:pos="1440"/>
              </w:tabs>
              <w:spacing w:line="360" w:lineRule="exact"/>
              <w:rPr>
                <w:rFonts w:hint="eastAsia" w:ascii="Times New Roman" w:hAnsi="Times New Roman" w:eastAsia="宋体"/>
                <w:color w:val="auto"/>
                <w:szCs w:val="21"/>
                <w:highlight w:val="none"/>
                <w:lang w:eastAsia="zh-CN"/>
              </w:rPr>
            </w:pPr>
            <w:r>
              <w:rPr>
                <w:rFonts w:hint="eastAsia" w:ascii="Times New Roman" w:hAnsi="Times New Roman"/>
                <w:color w:val="auto"/>
                <w:highlight w:val="none"/>
                <w:lang w:eastAsia="zh-CN"/>
              </w:rPr>
              <w:t>株洲市清水塘老工业区产业新城整体开发项目清水塘大桥新建工程施工监理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2</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建设地点</w:t>
            </w:r>
          </w:p>
        </w:tc>
        <w:tc>
          <w:tcPr>
            <w:tcW w:w="6898" w:type="dxa"/>
            <w:vAlign w:val="center"/>
          </w:tcPr>
          <w:p>
            <w:pPr>
              <w:tabs>
                <w:tab w:val="left" w:pos="345"/>
                <w:tab w:val="center" w:pos="4153"/>
              </w:tabs>
              <w:spacing w:line="360" w:lineRule="exact"/>
              <w:jc w:val="left"/>
              <w:rPr>
                <w:rFonts w:ascii="Times New Roman" w:hAnsi="Times New Roman"/>
                <w:color w:val="auto"/>
                <w:szCs w:val="21"/>
                <w:highlight w:val="none"/>
              </w:rPr>
            </w:pPr>
            <w:r>
              <w:rPr>
                <w:rFonts w:ascii="Times New Roman" w:hAnsi="Times New Roman"/>
                <w:color w:val="auto"/>
                <w:szCs w:val="21"/>
                <w:highlight w:val="none"/>
              </w:rPr>
              <w:t>石峰区和天元区境内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3</w:t>
            </w:r>
          </w:p>
        </w:tc>
        <w:tc>
          <w:tcPr>
            <w:tcW w:w="1769" w:type="dxa"/>
            <w:vAlign w:val="center"/>
          </w:tcPr>
          <w:p>
            <w:pPr>
              <w:tabs>
                <w:tab w:val="left" w:pos="900"/>
                <w:tab w:val="left" w:pos="1440"/>
              </w:tabs>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建设规模</w:t>
            </w:r>
          </w:p>
        </w:tc>
        <w:tc>
          <w:tcPr>
            <w:tcW w:w="6898" w:type="dxa"/>
            <w:vAlign w:val="center"/>
          </w:tcPr>
          <w:p>
            <w:pPr>
              <w:snapToGrid w:val="0"/>
              <w:spacing w:line="360" w:lineRule="exact"/>
              <w:rPr>
                <w:rFonts w:ascii="Times New Roman" w:hAnsi="Times New Roman"/>
                <w:color w:val="auto"/>
                <w:szCs w:val="21"/>
                <w:highlight w:val="none"/>
              </w:rPr>
            </w:pPr>
            <w:r>
              <w:rPr>
                <w:rFonts w:ascii="Times New Roman" w:hAnsi="Times New Roman"/>
                <w:color w:val="auto"/>
                <w:szCs w:val="21"/>
                <w:highlight w:val="none"/>
              </w:rPr>
              <w:t>项目主要建设内容为新建桥梁、道路、排水、照明、景观、交通设施及附属工程等。清水塘大桥北起清水塘大道，上跨清霞路，往南越过湘江，上跨滨江北路、新东路后对接珠江北路落地，道路全长2.85公里，其中桥梁段长度2.175公里。主跨桥梁采用双层钢桁架拱桥结构，跨径408米，桥梁上层为机动车道，净宽31米，双向6车道，桥梁下层为人非车道，净宽10米。道路等级按城市主干道标准设计。跨江主线段设计时速60公里/小时，引桥接地段及地面道路段设计时速50公里/小时，匝道设计时速40公里/小时。其他经济技术指标应符合城市道路和桥梁设计建设现行标准规范要求。项目总投资150256.63万元，其中工程费113363.44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4</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计费标准</w:t>
            </w:r>
          </w:p>
        </w:tc>
        <w:tc>
          <w:tcPr>
            <w:tcW w:w="6898" w:type="dxa"/>
            <w:vAlign w:val="center"/>
          </w:tcPr>
          <w:p>
            <w:pPr>
              <w:tabs>
                <w:tab w:val="left" w:pos="900"/>
                <w:tab w:val="left" w:pos="1440"/>
              </w:tabs>
              <w:spacing w:line="320" w:lineRule="exact"/>
              <w:rPr>
                <w:rFonts w:ascii="Times New Roman" w:hAnsi="Times New Roman"/>
                <w:color w:val="auto"/>
                <w:szCs w:val="21"/>
                <w:highlight w:val="none"/>
              </w:rPr>
            </w:pPr>
            <w:r>
              <w:rPr>
                <w:rFonts w:hint="eastAsia" w:ascii="Times New Roman" w:hAnsi="Times New Roman"/>
                <w:color w:val="auto"/>
                <w:szCs w:val="21"/>
                <w:highlight w:val="none"/>
              </w:rPr>
              <w:t>以财政评审中心及</w:t>
            </w:r>
            <w:r>
              <w:rPr>
                <w:rFonts w:ascii="Times New Roman" w:hAnsi="Times New Roman"/>
                <w:color w:val="auto"/>
                <w:szCs w:val="21"/>
                <w:highlight w:val="none"/>
              </w:rPr>
              <w:t>审计局确定的</w:t>
            </w:r>
            <w:r>
              <w:rPr>
                <w:rFonts w:hint="eastAsia" w:ascii="Times New Roman" w:hAnsi="Times New Roman"/>
                <w:color w:val="auto"/>
                <w:szCs w:val="21"/>
                <w:highlight w:val="none"/>
                <w:lang w:eastAsia="zh-CN"/>
              </w:rPr>
              <w:t>最高投标限价</w:t>
            </w:r>
            <w:r>
              <w:rPr>
                <w:rFonts w:ascii="Times New Roman" w:hAnsi="Times New Roman"/>
                <w:color w:val="auto"/>
                <w:szCs w:val="21"/>
                <w:highlight w:val="none"/>
              </w:rPr>
              <w:t>为准</w:t>
            </w:r>
            <w:r>
              <w:rPr>
                <w:rFonts w:hint="eastAsia" w:ascii="Times New Roman" w:hAnsi="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5</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现场条件</w:t>
            </w:r>
          </w:p>
        </w:tc>
        <w:tc>
          <w:tcPr>
            <w:tcW w:w="6898" w:type="dxa"/>
            <w:vAlign w:val="center"/>
          </w:tcPr>
          <w:p>
            <w:pPr>
              <w:tabs>
                <w:tab w:val="left" w:pos="900"/>
                <w:tab w:val="left" w:pos="1440"/>
              </w:tabs>
              <w:spacing w:line="320" w:lineRule="exact"/>
              <w:rPr>
                <w:rFonts w:ascii="Times New Roman" w:hAnsi="Times New Roman"/>
                <w:color w:val="auto"/>
                <w:szCs w:val="21"/>
                <w:highlight w:val="none"/>
              </w:rPr>
            </w:pPr>
            <w:r>
              <w:rPr>
                <w:rFonts w:ascii="Times New Roman" w:hAnsi="Times New Roman"/>
                <w:color w:val="auto"/>
                <w:szCs w:val="21"/>
                <w:highlight w:val="none"/>
              </w:rPr>
              <w:t>已具备施工条件。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6</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资金来源</w:t>
            </w:r>
          </w:p>
        </w:tc>
        <w:tc>
          <w:tcPr>
            <w:tcW w:w="6898" w:type="dxa"/>
            <w:vAlign w:val="center"/>
          </w:tcPr>
          <w:p>
            <w:pPr>
              <w:spacing w:line="320" w:lineRule="exact"/>
              <w:jc w:val="left"/>
              <w:rPr>
                <w:rFonts w:ascii="Times New Roman" w:hAnsi="Times New Roman"/>
                <w:color w:val="auto"/>
                <w:szCs w:val="21"/>
                <w:highlight w:val="none"/>
              </w:rPr>
            </w:pPr>
            <w:r>
              <w:rPr>
                <w:rFonts w:ascii="Times New Roman" w:hAnsi="Times New Roman"/>
                <w:color w:val="auto"/>
                <w:highlight w:val="none"/>
              </w:rPr>
              <w:t>SPV公司（项目公司）筹集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7</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监理工作范围</w:t>
            </w:r>
          </w:p>
        </w:tc>
        <w:tc>
          <w:tcPr>
            <w:tcW w:w="6898" w:type="dxa"/>
            <w:vAlign w:val="center"/>
          </w:tcPr>
          <w:p>
            <w:pPr>
              <w:tabs>
                <w:tab w:val="left" w:pos="900"/>
                <w:tab w:val="left" w:pos="1440"/>
              </w:tabs>
              <w:spacing w:line="320" w:lineRule="exact"/>
              <w:rPr>
                <w:rFonts w:ascii="Times New Roman" w:hAnsi="Times New Roman"/>
                <w:color w:val="auto"/>
                <w:szCs w:val="21"/>
                <w:highlight w:val="none"/>
              </w:rPr>
            </w:pPr>
            <w:r>
              <w:rPr>
                <w:rFonts w:ascii="Times New Roman" w:hAnsi="Times New Roman"/>
                <w:color w:val="auto"/>
                <w:szCs w:val="21"/>
                <w:highlight w:val="none"/>
              </w:rPr>
              <w:t xml:space="preserve">本招标项目设计施工图范围内全部工程的施工准备、施工及保修阶段的监理，具体工作范围及界线以招标人下达的任务书为准。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8</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质量控制目标</w:t>
            </w:r>
          </w:p>
        </w:tc>
        <w:tc>
          <w:tcPr>
            <w:tcW w:w="6898" w:type="dxa"/>
            <w:vAlign w:val="center"/>
          </w:tcPr>
          <w:p>
            <w:pPr>
              <w:tabs>
                <w:tab w:val="left" w:pos="900"/>
                <w:tab w:val="left" w:pos="1440"/>
              </w:tabs>
              <w:spacing w:line="320" w:lineRule="exact"/>
              <w:rPr>
                <w:rFonts w:ascii="Times New Roman" w:hAnsi="Times New Roman"/>
                <w:color w:val="auto"/>
                <w:szCs w:val="21"/>
                <w:highlight w:val="none"/>
              </w:rPr>
            </w:pPr>
            <w:r>
              <w:rPr>
                <w:rFonts w:ascii="Times New Roman" w:hAnsi="Times New Roman"/>
                <w:color w:val="auto"/>
                <w:szCs w:val="21"/>
                <w:highlight w:val="none"/>
              </w:rPr>
              <w:t>以本招标项目各单项或单位工程的施工合同中所确定的质量标准为质量控制目标</w:t>
            </w:r>
            <w:r>
              <w:rPr>
                <w:rFonts w:ascii="Times New Roman" w:hAnsi="Times New Roman"/>
                <w:color w:val="auto"/>
                <w:kern w:val="0"/>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9</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工期控制目标</w:t>
            </w:r>
          </w:p>
        </w:tc>
        <w:tc>
          <w:tcPr>
            <w:tcW w:w="6898" w:type="dxa"/>
            <w:vAlign w:val="center"/>
          </w:tcPr>
          <w:p>
            <w:pPr>
              <w:tabs>
                <w:tab w:val="left" w:pos="900"/>
                <w:tab w:val="left" w:pos="1440"/>
              </w:tabs>
              <w:spacing w:line="320" w:lineRule="exact"/>
              <w:rPr>
                <w:rFonts w:ascii="Times New Roman" w:hAnsi="Times New Roman"/>
                <w:color w:val="auto"/>
                <w:szCs w:val="21"/>
                <w:highlight w:val="none"/>
              </w:rPr>
            </w:pPr>
            <w:r>
              <w:rPr>
                <w:rFonts w:ascii="Times New Roman" w:hAnsi="Times New Roman"/>
                <w:color w:val="auto"/>
                <w:szCs w:val="21"/>
                <w:highlight w:val="none"/>
              </w:rPr>
              <w:t>以本招标项目各单项或单位工程的施工合同中所确定的施工工期为工期控制目标，</w:t>
            </w:r>
            <w:r>
              <w:rPr>
                <w:rFonts w:ascii="Times New Roman" w:hAnsi="Times New Roman"/>
                <w:color w:val="auto"/>
                <w:kern w:val="0"/>
                <w:szCs w:val="21"/>
                <w:highlight w:val="none"/>
              </w:rPr>
              <w:t>直至本招标工程项目全部完工。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13"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10</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投标人资格条件</w:t>
            </w:r>
          </w:p>
        </w:tc>
        <w:tc>
          <w:tcPr>
            <w:tcW w:w="6898" w:type="dxa"/>
            <w:vAlign w:val="center"/>
          </w:tcPr>
          <w:p>
            <w:pPr>
              <w:numPr>
                <w:ilvl w:val="0"/>
                <w:numId w:val="2"/>
              </w:numPr>
              <w:tabs>
                <w:tab w:val="left" w:pos="900"/>
                <w:tab w:val="left" w:pos="1440"/>
              </w:tabs>
              <w:spacing w:line="320" w:lineRule="exact"/>
              <w:rPr>
                <w:rFonts w:ascii="Times New Roman" w:hAnsi="Times New Roman"/>
                <w:color w:val="auto"/>
                <w:szCs w:val="21"/>
                <w:highlight w:val="none"/>
              </w:rPr>
            </w:pPr>
            <w:r>
              <w:rPr>
                <w:rFonts w:ascii="Times New Roman" w:hAnsi="Times New Roman"/>
                <w:color w:val="auto"/>
                <w:szCs w:val="21"/>
                <w:highlight w:val="none"/>
              </w:rPr>
              <w:t>投标人必须具有独立的企业法人资格和有效的营业执照；</w:t>
            </w:r>
          </w:p>
          <w:p>
            <w:pPr>
              <w:numPr>
                <w:ilvl w:val="0"/>
                <w:numId w:val="2"/>
              </w:numPr>
              <w:tabs>
                <w:tab w:val="left" w:pos="900"/>
                <w:tab w:val="left" w:pos="1440"/>
              </w:tabs>
              <w:adjustRightInd w:val="0"/>
              <w:snapToGrid w:val="0"/>
              <w:spacing w:line="320" w:lineRule="exact"/>
              <w:rPr>
                <w:rFonts w:ascii="Times New Roman" w:hAnsi="Times New Roman"/>
                <w:color w:val="auto"/>
                <w:szCs w:val="21"/>
                <w:highlight w:val="none"/>
              </w:rPr>
            </w:pPr>
            <w:r>
              <w:rPr>
                <w:rFonts w:ascii="Times New Roman" w:hAnsi="Times New Roman"/>
                <w:color w:val="auto"/>
                <w:highlight w:val="none"/>
              </w:rPr>
              <w:t>投标人须</w:t>
            </w:r>
            <w:r>
              <w:rPr>
                <w:rFonts w:hint="eastAsia" w:ascii="宋体" w:hAnsi="宋体" w:cs="宋体"/>
                <w:color w:val="auto"/>
                <w:szCs w:val="21"/>
                <w:highlight w:val="none"/>
              </w:rPr>
              <w:t>具备建设行政主管部门颁发的工程监理综合资质或市政公用工程监理</w:t>
            </w:r>
            <w:r>
              <w:rPr>
                <w:rFonts w:hint="eastAsia" w:ascii="宋体" w:hAnsi="宋体" w:cs="宋体"/>
                <w:color w:val="auto"/>
                <w:szCs w:val="21"/>
                <w:highlight w:val="none"/>
                <w:lang w:eastAsia="zh-CN"/>
              </w:rPr>
              <w:t>甲</w:t>
            </w:r>
            <w:r>
              <w:rPr>
                <w:rFonts w:hint="eastAsia" w:ascii="宋体" w:hAnsi="宋体" w:cs="宋体"/>
                <w:color w:val="auto"/>
                <w:szCs w:val="21"/>
                <w:highlight w:val="none"/>
              </w:rPr>
              <w:t>级企业资质</w:t>
            </w:r>
            <w:r>
              <w:rPr>
                <w:rFonts w:hint="eastAsia" w:ascii="宋体" w:hAnsi="宋体" w:cs="宋体"/>
                <w:color w:val="auto"/>
                <w:szCs w:val="21"/>
                <w:highlight w:val="none"/>
                <w:lang w:eastAsia="zh-CN"/>
              </w:rPr>
              <w:t>；</w:t>
            </w:r>
          </w:p>
          <w:p>
            <w:pPr>
              <w:numPr>
                <w:ilvl w:val="0"/>
                <w:numId w:val="2"/>
              </w:numPr>
              <w:tabs>
                <w:tab w:val="left" w:pos="900"/>
                <w:tab w:val="left" w:pos="1440"/>
              </w:tabs>
              <w:adjustRightInd w:val="0"/>
              <w:snapToGrid w:val="0"/>
              <w:spacing w:line="320" w:lineRule="exact"/>
              <w:rPr>
                <w:rFonts w:ascii="Times New Roman" w:hAnsi="Times New Roman"/>
                <w:color w:val="auto"/>
                <w:szCs w:val="21"/>
                <w:highlight w:val="none"/>
              </w:rPr>
            </w:pPr>
            <w:r>
              <w:rPr>
                <w:rFonts w:ascii="Times New Roman" w:hAnsi="Times New Roman"/>
                <w:color w:val="auto"/>
                <w:szCs w:val="21"/>
                <w:highlight w:val="none"/>
              </w:rPr>
              <w:t>拟任总监理工程师必须具有全国监理工程师注册证（注册专业应含市政公用工程，且无在监项目），项目现场监理部其他关键岗位人员要求详见招标文件投标须知第6条；</w:t>
            </w:r>
          </w:p>
          <w:p>
            <w:pPr>
              <w:numPr>
                <w:ilvl w:val="0"/>
                <w:numId w:val="2"/>
              </w:numPr>
              <w:tabs>
                <w:tab w:val="left" w:pos="900"/>
                <w:tab w:val="left" w:pos="1440"/>
              </w:tabs>
              <w:spacing w:line="320" w:lineRule="exact"/>
              <w:rPr>
                <w:rFonts w:ascii="Times New Roman" w:hAnsi="Times New Roman"/>
                <w:color w:val="auto"/>
                <w:szCs w:val="21"/>
                <w:highlight w:val="none"/>
              </w:rPr>
            </w:pPr>
            <w:r>
              <w:rPr>
                <w:rFonts w:ascii="Times New Roman" w:hAnsi="Times New Roman"/>
                <w:color w:val="auto"/>
                <w:highlight w:val="none"/>
              </w:rPr>
              <w:t>湖南省外监理企业按照湘建建[2015]190号文要求已进行入湘企业基本信息备案（以“湖南省住房和城乡建设网”查询为准）；</w:t>
            </w:r>
          </w:p>
          <w:p>
            <w:pPr>
              <w:numPr>
                <w:ilvl w:val="0"/>
                <w:numId w:val="2"/>
              </w:numPr>
              <w:tabs>
                <w:tab w:val="left" w:pos="900"/>
                <w:tab w:val="left" w:pos="1440"/>
              </w:tabs>
              <w:spacing w:line="320" w:lineRule="exact"/>
              <w:rPr>
                <w:rFonts w:ascii="Times New Roman" w:hAnsi="Times New Roman"/>
                <w:color w:val="auto"/>
                <w:szCs w:val="21"/>
                <w:highlight w:val="none"/>
              </w:rPr>
            </w:pPr>
            <w:r>
              <w:rPr>
                <w:rFonts w:ascii="Times New Roman" w:hAnsi="Times New Roman"/>
                <w:color w:val="auto"/>
                <w:szCs w:val="21"/>
                <w:highlight w:val="none"/>
              </w:rPr>
              <w:t>单位负责人为同一人或者存在控股、管理关系的不同单位，不得同时参加本工程投标，否则，其投标均无效；</w:t>
            </w:r>
          </w:p>
          <w:p>
            <w:pPr>
              <w:numPr>
                <w:ilvl w:val="0"/>
                <w:numId w:val="2"/>
              </w:numPr>
              <w:tabs>
                <w:tab w:val="left" w:pos="900"/>
                <w:tab w:val="left" w:pos="1440"/>
              </w:tabs>
              <w:spacing w:line="320" w:lineRule="exact"/>
              <w:rPr>
                <w:rFonts w:ascii="Times New Roman" w:hAnsi="Times New Roman"/>
                <w:color w:val="auto"/>
                <w:szCs w:val="21"/>
                <w:highlight w:val="none"/>
              </w:rPr>
            </w:pPr>
            <w:r>
              <w:rPr>
                <w:rFonts w:ascii="Times New Roman" w:hAnsi="Times New Roman"/>
                <w:color w:val="auto"/>
                <w:szCs w:val="21"/>
                <w:highlight w:val="none"/>
              </w:rPr>
              <w:t>本次招标不接受联合体投标。</w:t>
            </w:r>
          </w:p>
          <w:p>
            <w:pPr>
              <w:tabs>
                <w:tab w:val="left" w:pos="900"/>
                <w:tab w:val="left" w:pos="1440"/>
              </w:tabs>
              <w:spacing w:line="320" w:lineRule="exact"/>
              <w:rPr>
                <w:rFonts w:ascii="Times New Roman" w:hAnsi="Times New Roman"/>
                <w:color w:val="auto"/>
                <w:szCs w:val="21"/>
                <w:highlight w:val="none"/>
              </w:rPr>
            </w:pPr>
            <w:r>
              <w:rPr>
                <w:rFonts w:ascii="Times New Roman" w:hAnsi="Times New Roman" w:eastAsia="黑体"/>
                <w:b/>
                <w:bCs/>
                <w:color w:val="auto"/>
                <w:szCs w:val="21"/>
                <w:highlight w:val="none"/>
              </w:rPr>
              <w:t>请投标人在递交投标文件前自行查询核验现场监理部关键岗位人员有无在建项目情况。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11</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资格审查</w:t>
            </w:r>
          </w:p>
        </w:tc>
        <w:tc>
          <w:tcPr>
            <w:tcW w:w="6898" w:type="dxa"/>
            <w:vAlign w:val="center"/>
          </w:tcPr>
          <w:p>
            <w:pPr>
              <w:spacing w:line="320" w:lineRule="exact"/>
              <w:rPr>
                <w:rFonts w:ascii="Times New Roman" w:hAnsi="Times New Roman"/>
                <w:color w:val="auto"/>
                <w:szCs w:val="21"/>
                <w:highlight w:val="none"/>
              </w:rPr>
            </w:pPr>
            <w:r>
              <w:rPr>
                <w:rFonts w:ascii="Times New Roman" w:hAnsi="Times New Roman"/>
                <w:color w:val="auto"/>
                <w:szCs w:val="21"/>
                <w:highlight w:val="none"/>
              </w:rPr>
              <w:t>本项目采用资格后审，资格审查合格的投标人均为入围投标人。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12</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投标有效期</w:t>
            </w:r>
          </w:p>
        </w:tc>
        <w:tc>
          <w:tcPr>
            <w:tcW w:w="6898" w:type="dxa"/>
            <w:vAlign w:val="center"/>
          </w:tcPr>
          <w:p>
            <w:pPr>
              <w:spacing w:line="320" w:lineRule="exact"/>
              <w:rPr>
                <w:rFonts w:ascii="Times New Roman" w:hAnsi="Times New Roman"/>
                <w:color w:val="auto"/>
                <w:szCs w:val="21"/>
                <w:highlight w:val="none"/>
              </w:rPr>
            </w:pPr>
            <w:r>
              <w:rPr>
                <w:rFonts w:ascii="Times New Roman" w:hAnsi="Times New Roman"/>
                <w:color w:val="auto"/>
                <w:szCs w:val="21"/>
                <w:highlight w:val="none"/>
              </w:rPr>
              <w:t>90日历天（从投标截止之日算起）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13</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投标保证承诺</w:t>
            </w:r>
          </w:p>
        </w:tc>
        <w:tc>
          <w:tcPr>
            <w:tcW w:w="6898" w:type="dxa"/>
            <w:vAlign w:val="center"/>
          </w:tcPr>
          <w:p>
            <w:pPr>
              <w:spacing w:line="340" w:lineRule="exact"/>
              <w:rPr>
                <w:rFonts w:ascii="Times New Roman" w:hAnsi="Times New Roman"/>
                <w:color w:val="auto"/>
                <w:szCs w:val="21"/>
                <w:highlight w:val="none"/>
              </w:rPr>
            </w:pPr>
            <w:r>
              <w:rPr>
                <w:rFonts w:ascii="Times New Roman" w:hAnsi="Times New Roman"/>
                <w:color w:val="auto"/>
                <w:szCs w:val="21"/>
                <w:highlight w:val="none"/>
              </w:rPr>
              <w:t>本项目不需要投标人提供投标保证金，但投标文件中必须附上投标保证承</w:t>
            </w:r>
          </w:p>
          <w:p>
            <w:pPr>
              <w:spacing w:line="340" w:lineRule="exact"/>
              <w:rPr>
                <w:rFonts w:ascii="Times New Roman" w:hAnsi="Times New Roman"/>
                <w:color w:val="auto"/>
                <w:szCs w:val="21"/>
                <w:highlight w:val="none"/>
              </w:rPr>
            </w:pPr>
            <w:r>
              <w:rPr>
                <w:rFonts w:ascii="Times New Roman" w:hAnsi="Times New Roman"/>
                <w:color w:val="auto"/>
                <w:szCs w:val="21"/>
                <w:highlight w:val="none"/>
              </w:rPr>
              <w:t>诺。承诺格式详见第四章格式三。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14</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踏勘现场</w:t>
            </w:r>
          </w:p>
        </w:tc>
        <w:tc>
          <w:tcPr>
            <w:tcW w:w="6898" w:type="dxa"/>
            <w:vAlign w:val="center"/>
          </w:tcPr>
          <w:p>
            <w:pPr>
              <w:spacing w:line="320" w:lineRule="exact"/>
              <w:rPr>
                <w:rFonts w:ascii="Times New Roman" w:hAnsi="Times New Roman"/>
                <w:color w:val="auto"/>
                <w:szCs w:val="21"/>
                <w:highlight w:val="none"/>
              </w:rPr>
            </w:pPr>
            <w:r>
              <w:rPr>
                <w:rFonts w:ascii="Times New Roman" w:hAnsi="Times New Roman"/>
                <w:color w:val="auto"/>
                <w:szCs w:val="21"/>
                <w:highlight w:val="none"/>
              </w:rPr>
              <w:t>不组织，请各投标人自行踏勘现场，中标后中标人以不了解现场情况为由向招标人提出的任何索赔，招标人将均不予受理。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15</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投标人提出问题的截止时间及招标文件的澄清与修改</w:t>
            </w:r>
          </w:p>
        </w:tc>
        <w:tc>
          <w:tcPr>
            <w:tcW w:w="6898" w:type="dxa"/>
            <w:vAlign w:val="center"/>
          </w:tcPr>
          <w:p>
            <w:pPr>
              <w:spacing w:line="360" w:lineRule="exact"/>
              <w:jc w:val="left"/>
              <w:rPr>
                <w:rFonts w:ascii="Times New Roman" w:hAnsi="Times New Roman"/>
                <w:color w:val="auto"/>
                <w:szCs w:val="21"/>
                <w:highlight w:val="none"/>
              </w:rPr>
            </w:pPr>
            <w:r>
              <w:rPr>
                <w:rFonts w:ascii="Times New Roman" w:hAnsi="Times New Roman"/>
                <w:color w:val="auto"/>
                <w:szCs w:val="21"/>
                <w:highlight w:val="none"/>
              </w:rPr>
              <w:t xml:space="preserve">    投标咨疑文件提交时间：在投标截止时间16天前，投标人如有疑问，应按上述时间将书面咨疑文件送达或发电子邮件至湖南新泉工程造价咨询有限公司（邮箱：</w:t>
            </w:r>
            <w:r>
              <w:rPr>
                <w:color w:val="auto"/>
                <w:highlight w:val="none"/>
              </w:rPr>
              <w:fldChar w:fldCharType="begin"/>
            </w:r>
            <w:r>
              <w:rPr>
                <w:color w:val="auto"/>
                <w:highlight w:val="none"/>
              </w:rPr>
              <w:instrText xml:space="preserve"> HYPERLINK "mailto:1837742181@qq.com），否则视为认可招标文件的所有内容和条款。" </w:instrText>
            </w:r>
            <w:r>
              <w:rPr>
                <w:color w:val="auto"/>
                <w:highlight w:val="none"/>
              </w:rPr>
              <w:fldChar w:fldCharType="separate"/>
            </w:r>
            <w:r>
              <w:rPr>
                <w:rFonts w:ascii="Times New Roman" w:hAnsi="Times New Roman"/>
                <w:color w:val="auto"/>
                <w:szCs w:val="21"/>
                <w:highlight w:val="none"/>
              </w:rPr>
              <w:t>1277013538@qq.com），否则视为认可招标文件的所有内容和条款。</w:t>
            </w:r>
            <w:r>
              <w:rPr>
                <w:rFonts w:ascii="Times New Roman" w:hAnsi="Times New Roman"/>
                <w:color w:val="auto"/>
                <w:szCs w:val="21"/>
                <w:highlight w:val="none"/>
              </w:rPr>
              <w:fldChar w:fldCharType="end"/>
            </w:r>
          </w:p>
          <w:p>
            <w:pPr>
              <w:spacing w:line="360" w:lineRule="exact"/>
              <w:jc w:val="left"/>
              <w:rPr>
                <w:rFonts w:ascii="Times New Roman" w:hAnsi="Times New Roman"/>
                <w:color w:val="auto"/>
                <w:szCs w:val="21"/>
                <w:highlight w:val="none"/>
              </w:rPr>
            </w:pPr>
            <w:r>
              <w:rPr>
                <w:rFonts w:ascii="Times New Roman" w:hAnsi="Times New Roman"/>
                <w:color w:val="auto"/>
                <w:szCs w:val="21"/>
                <w:highlight w:val="none"/>
              </w:rPr>
              <w:t xml:space="preserve">    答疑文件的发送时间为：在投标截止时间15天前，招标人澄清文件发布方式：“株洲市公共资源交易中心”网站（www.zzzyjy.cn，全文均同），请投标人自行下载。</w:t>
            </w:r>
          </w:p>
          <w:p>
            <w:pPr>
              <w:spacing w:line="340" w:lineRule="exact"/>
              <w:jc w:val="left"/>
              <w:rPr>
                <w:rFonts w:ascii="Times New Roman" w:hAnsi="Times New Roman"/>
                <w:color w:val="auto"/>
                <w:szCs w:val="21"/>
                <w:highlight w:val="none"/>
              </w:rPr>
            </w:pPr>
            <w:r>
              <w:rPr>
                <w:rFonts w:ascii="Times New Roman" w:hAnsi="Times New Roman" w:eastAsia="黑体"/>
                <w:b/>
                <w:bCs/>
                <w:color w:val="auto"/>
                <w:szCs w:val="21"/>
                <w:highlight w:val="none"/>
              </w:rPr>
              <w:t>在投标截止时间前，投标人务必动态关注澄清答疑文件的发布情况。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16</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投标文件份数</w:t>
            </w:r>
          </w:p>
        </w:tc>
        <w:tc>
          <w:tcPr>
            <w:tcW w:w="6898" w:type="dxa"/>
            <w:vAlign w:val="center"/>
          </w:tcPr>
          <w:p>
            <w:pPr>
              <w:spacing w:line="320" w:lineRule="exact"/>
              <w:rPr>
                <w:rFonts w:ascii="Times New Roman" w:hAnsi="Times New Roman"/>
                <w:b/>
                <w:bCs/>
                <w:color w:val="auto"/>
                <w:szCs w:val="21"/>
                <w:highlight w:val="none"/>
              </w:rPr>
            </w:pPr>
            <w:r>
              <w:rPr>
                <w:rFonts w:ascii="Times New Roman" w:hAnsi="Times New Roman"/>
                <w:color w:val="auto"/>
                <w:szCs w:val="21"/>
                <w:highlight w:val="none"/>
              </w:rPr>
              <w:t>纸质标书壹式肆份，正本壹份、副本叁份。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17</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pacing w:val="-10"/>
                <w:szCs w:val="21"/>
                <w:highlight w:val="none"/>
              </w:rPr>
              <w:t>投标文件提交地点及截止时间</w:t>
            </w:r>
          </w:p>
        </w:tc>
        <w:tc>
          <w:tcPr>
            <w:tcW w:w="6898" w:type="dxa"/>
            <w:vAlign w:val="center"/>
          </w:tcPr>
          <w:p>
            <w:pPr>
              <w:spacing w:line="320" w:lineRule="exact"/>
              <w:rPr>
                <w:rFonts w:ascii="Times New Roman" w:hAnsi="Times New Roman"/>
                <w:color w:val="auto"/>
                <w:szCs w:val="21"/>
                <w:highlight w:val="none"/>
              </w:rPr>
            </w:pPr>
            <w:r>
              <w:rPr>
                <w:rFonts w:ascii="Times New Roman" w:hAnsi="Times New Roman"/>
                <w:color w:val="auto"/>
                <w:szCs w:val="21"/>
                <w:highlight w:val="none"/>
              </w:rPr>
              <w:t>提交地点: 株洲市公共资源交易中心六楼开标室（株洲市天元区牛家牌路111号）。</w:t>
            </w:r>
          </w:p>
          <w:p>
            <w:pPr>
              <w:spacing w:line="320" w:lineRule="exact"/>
              <w:rPr>
                <w:rFonts w:ascii="Times New Roman" w:hAnsi="Times New Roman"/>
                <w:b/>
                <w:bCs/>
                <w:color w:val="auto"/>
                <w:szCs w:val="21"/>
                <w:highlight w:val="none"/>
              </w:rPr>
            </w:pPr>
            <w:r>
              <w:rPr>
                <w:rFonts w:ascii="Times New Roman" w:hAnsi="Times New Roman"/>
                <w:color w:val="auto"/>
                <w:szCs w:val="21"/>
                <w:highlight w:val="none"/>
              </w:rPr>
              <w:t>截止时间：</w:t>
            </w:r>
            <w:r>
              <w:rPr>
                <w:rFonts w:ascii="Times New Roman" w:hAnsi="Times New Roman"/>
                <w:color w:val="auto"/>
                <w:szCs w:val="21"/>
                <w:highlight w:val="none"/>
                <w:u w:val="single"/>
              </w:rPr>
              <w:t xml:space="preserve"> 2019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hint="eastAsia" w:ascii="Times New Roman" w:hAnsi="Times New Roman"/>
                <w:color w:val="auto"/>
                <w:szCs w:val="21"/>
                <w:highlight w:val="none"/>
                <w:u w:val="single"/>
                <w:lang w:val="en-US" w:eastAsia="zh-CN"/>
              </w:rPr>
              <w:t>7</w:t>
            </w:r>
            <w:r>
              <w:rPr>
                <w:rFonts w:ascii="Times New Roman" w:hAnsi="Times New Roman"/>
                <w:color w:val="auto"/>
                <w:szCs w:val="21"/>
                <w:highlight w:val="none"/>
                <w:u w:val="single"/>
              </w:rPr>
              <w:t xml:space="preserve"> </w:t>
            </w:r>
            <w:r>
              <w:rPr>
                <w:rStyle w:val="23"/>
                <w:rFonts w:ascii="Times New Roman" w:hAnsi="Times New Roman"/>
                <w:bCs/>
                <w:color w:val="auto"/>
                <w:highlight w:val="none"/>
              </w:rPr>
              <w:t>月</w:t>
            </w:r>
            <w:r>
              <w:rPr>
                <w:rStyle w:val="23"/>
                <w:rFonts w:ascii="Times New Roman" w:hAnsi="Times New Roman"/>
                <w:bCs/>
                <w:color w:val="auto"/>
                <w:highlight w:val="none"/>
                <w:u w:val="single"/>
              </w:rPr>
              <w:t xml:space="preserve"> </w:t>
            </w:r>
            <w:r>
              <w:rPr>
                <w:rStyle w:val="23"/>
                <w:rFonts w:hint="eastAsia" w:ascii="Times New Roman" w:hAnsi="Times New Roman"/>
                <w:bCs/>
                <w:color w:val="auto"/>
                <w:highlight w:val="none"/>
                <w:u w:val="single"/>
                <w:lang w:val="en-US" w:eastAsia="zh-CN"/>
              </w:rPr>
              <w:t>16</w:t>
            </w:r>
            <w:r>
              <w:rPr>
                <w:rStyle w:val="23"/>
                <w:rFonts w:ascii="Times New Roman" w:hAnsi="Times New Roman"/>
                <w:bCs/>
                <w:color w:val="auto"/>
                <w:highlight w:val="none"/>
                <w:u w:val="single"/>
              </w:rPr>
              <w:t xml:space="preserve"> </w:t>
            </w:r>
            <w:r>
              <w:rPr>
                <w:rStyle w:val="23"/>
                <w:rFonts w:ascii="Times New Roman" w:hAnsi="Times New Roman"/>
                <w:bCs/>
                <w:color w:val="auto"/>
                <w:highlight w:val="none"/>
              </w:rPr>
              <w:t>日</w:t>
            </w:r>
            <w:r>
              <w:rPr>
                <w:rFonts w:hint="eastAsia" w:ascii="Times New Roman" w:hAnsi="Times New Roman"/>
                <w:color w:val="auto"/>
                <w:szCs w:val="21"/>
                <w:highlight w:val="none"/>
                <w:u w:val="single"/>
                <w:lang w:val="en-US" w:eastAsia="zh-CN"/>
              </w:rPr>
              <w:t>9</w:t>
            </w:r>
            <w:r>
              <w:rPr>
                <w:rFonts w:ascii="Times New Roman" w:hAnsi="Times New Roman"/>
                <w:color w:val="auto"/>
                <w:szCs w:val="21"/>
                <w:highlight w:val="none"/>
              </w:rPr>
              <w:t xml:space="preserve">  :00时（北京时间）。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18</w:t>
            </w:r>
          </w:p>
        </w:tc>
        <w:tc>
          <w:tcPr>
            <w:tcW w:w="1769" w:type="dxa"/>
            <w:vAlign w:val="center"/>
          </w:tcPr>
          <w:p>
            <w:pPr>
              <w:spacing w:line="320" w:lineRule="exact"/>
              <w:jc w:val="center"/>
              <w:rPr>
                <w:rFonts w:ascii="Times New Roman" w:hAnsi="Times New Roman"/>
                <w:color w:val="auto"/>
                <w:spacing w:val="-10"/>
                <w:szCs w:val="21"/>
                <w:highlight w:val="none"/>
              </w:rPr>
            </w:pPr>
            <w:r>
              <w:rPr>
                <w:rFonts w:ascii="Times New Roman" w:hAnsi="Times New Roman"/>
                <w:color w:val="auto"/>
                <w:szCs w:val="21"/>
                <w:highlight w:val="none"/>
              </w:rPr>
              <w:t>开标</w:t>
            </w:r>
          </w:p>
        </w:tc>
        <w:tc>
          <w:tcPr>
            <w:tcW w:w="6898" w:type="dxa"/>
            <w:vAlign w:val="center"/>
          </w:tcPr>
          <w:p>
            <w:pPr>
              <w:spacing w:line="320" w:lineRule="exact"/>
              <w:rPr>
                <w:rFonts w:ascii="Times New Roman" w:hAnsi="Times New Roman"/>
                <w:color w:val="auto"/>
                <w:szCs w:val="21"/>
                <w:highlight w:val="none"/>
              </w:rPr>
            </w:pPr>
            <w:r>
              <w:rPr>
                <w:rFonts w:ascii="Times New Roman" w:hAnsi="Times New Roman"/>
                <w:color w:val="auto"/>
                <w:szCs w:val="21"/>
                <w:highlight w:val="none"/>
              </w:rPr>
              <w:t>开标时间:</w:t>
            </w:r>
            <w:r>
              <w:rPr>
                <w:rFonts w:ascii="Times New Roman" w:hAnsi="Times New Roman"/>
                <w:color w:val="auto"/>
                <w:szCs w:val="21"/>
                <w:highlight w:val="none"/>
                <w:u w:val="single"/>
              </w:rPr>
              <w:t xml:space="preserve">2019 </w:t>
            </w:r>
            <w:r>
              <w:rPr>
                <w:rFonts w:ascii="Times New Roman" w:hAnsi="Times New Roman"/>
                <w:color w:val="auto"/>
                <w:szCs w:val="21"/>
                <w:highlight w:val="none"/>
              </w:rPr>
              <w:t>年</w:t>
            </w:r>
            <w:r>
              <w:rPr>
                <w:rStyle w:val="23"/>
                <w:rFonts w:ascii="Times New Roman" w:hAnsi="Times New Roman"/>
                <w:bCs/>
                <w:color w:val="auto"/>
                <w:highlight w:val="none"/>
                <w:u w:val="single"/>
              </w:rPr>
              <w:t xml:space="preserve"> </w:t>
            </w:r>
            <w:r>
              <w:rPr>
                <w:rStyle w:val="23"/>
                <w:rFonts w:hint="eastAsia" w:ascii="Times New Roman" w:hAnsi="Times New Roman"/>
                <w:bCs/>
                <w:color w:val="auto"/>
                <w:highlight w:val="none"/>
                <w:u w:val="single"/>
                <w:lang w:val="en-US" w:eastAsia="zh-CN"/>
              </w:rPr>
              <w:t>7</w:t>
            </w:r>
            <w:r>
              <w:rPr>
                <w:rStyle w:val="23"/>
                <w:rFonts w:ascii="Times New Roman" w:hAnsi="Times New Roman"/>
                <w:bCs/>
                <w:color w:val="auto"/>
                <w:highlight w:val="none"/>
                <w:u w:val="single"/>
              </w:rPr>
              <w:t xml:space="preserve"> </w:t>
            </w:r>
            <w:r>
              <w:rPr>
                <w:rStyle w:val="23"/>
                <w:rFonts w:ascii="Times New Roman" w:hAnsi="Times New Roman"/>
                <w:bCs/>
                <w:color w:val="auto"/>
                <w:highlight w:val="none"/>
              </w:rPr>
              <w:t>月</w:t>
            </w:r>
            <w:r>
              <w:rPr>
                <w:rStyle w:val="23"/>
                <w:rFonts w:ascii="Times New Roman" w:hAnsi="Times New Roman"/>
                <w:bCs/>
                <w:color w:val="auto"/>
                <w:highlight w:val="none"/>
                <w:u w:val="single"/>
              </w:rPr>
              <w:t xml:space="preserve"> </w:t>
            </w:r>
            <w:r>
              <w:rPr>
                <w:rStyle w:val="23"/>
                <w:rFonts w:hint="eastAsia" w:ascii="Times New Roman" w:hAnsi="Times New Roman"/>
                <w:bCs/>
                <w:color w:val="auto"/>
                <w:highlight w:val="none"/>
                <w:u w:val="single"/>
                <w:lang w:val="en-US" w:eastAsia="zh-CN"/>
              </w:rPr>
              <w:t>16</w:t>
            </w:r>
            <w:r>
              <w:rPr>
                <w:rStyle w:val="23"/>
                <w:rFonts w:ascii="Times New Roman" w:hAnsi="Times New Roman"/>
                <w:bCs/>
                <w:color w:val="auto"/>
                <w:highlight w:val="none"/>
                <w:u w:val="single"/>
              </w:rPr>
              <w:t xml:space="preserve"> </w:t>
            </w:r>
            <w:r>
              <w:rPr>
                <w:rStyle w:val="23"/>
                <w:rFonts w:ascii="Times New Roman" w:hAnsi="Times New Roman"/>
                <w:bCs/>
                <w:color w:val="auto"/>
                <w:highlight w:val="none"/>
              </w:rPr>
              <w:t>日</w:t>
            </w:r>
            <w:r>
              <w:rPr>
                <w:rStyle w:val="23"/>
                <w:rFonts w:ascii="Times New Roman" w:hAnsi="Times New Roman"/>
                <w:bCs/>
                <w:color w:val="auto"/>
                <w:highlight w:val="none"/>
                <w:u w:val="single"/>
              </w:rPr>
              <w:t xml:space="preserve"> </w:t>
            </w:r>
            <w:r>
              <w:rPr>
                <w:rStyle w:val="23"/>
                <w:rFonts w:hint="eastAsia" w:ascii="Times New Roman" w:hAnsi="Times New Roman"/>
                <w:bCs/>
                <w:color w:val="auto"/>
                <w:highlight w:val="none"/>
                <w:u w:val="single"/>
                <w:lang w:val="en-US" w:eastAsia="zh-CN"/>
              </w:rPr>
              <w:t>9</w:t>
            </w:r>
            <w:r>
              <w:rPr>
                <w:rFonts w:ascii="Times New Roman" w:hAnsi="Times New Roman"/>
                <w:color w:val="auto"/>
                <w:szCs w:val="21"/>
                <w:highlight w:val="none"/>
              </w:rPr>
              <w:t xml:space="preserve"> ：00时（北京时间），</w:t>
            </w:r>
          </w:p>
          <w:p>
            <w:pPr>
              <w:spacing w:line="320" w:lineRule="exact"/>
              <w:rPr>
                <w:rFonts w:ascii="Times New Roman" w:hAnsi="Times New Roman"/>
                <w:color w:val="auto"/>
                <w:szCs w:val="21"/>
                <w:highlight w:val="none"/>
              </w:rPr>
            </w:pPr>
            <w:r>
              <w:rPr>
                <w:rFonts w:ascii="Times New Roman" w:hAnsi="Times New Roman"/>
                <w:color w:val="auto"/>
                <w:szCs w:val="21"/>
                <w:highlight w:val="none"/>
              </w:rPr>
              <w:t xml:space="preserve">开标地点: 株洲市公共资源交易中心六楼开标室（株洲市天元区牛家牌路111号）。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19</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highlight w:val="none"/>
              </w:rPr>
              <w:t>评标委员会的组建</w:t>
            </w:r>
          </w:p>
        </w:tc>
        <w:tc>
          <w:tcPr>
            <w:tcW w:w="6898" w:type="dxa"/>
            <w:vAlign w:val="center"/>
          </w:tcPr>
          <w:p>
            <w:pPr>
              <w:spacing w:line="288" w:lineRule="auto"/>
              <w:rPr>
                <w:rFonts w:ascii="Times New Roman" w:hAnsi="Times New Roman"/>
                <w:color w:val="auto"/>
                <w:highlight w:val="none"/>
              </w:rPr>
            </w:pPr>
            <w:r>
              <w:rPr>
                <w:rFonts w:ascii="Times New Roman" w:hAnsi="Times New Roman"/>
                <w:color w:val="auto"/>
                <w:highlight w:val="none"/>
              </w:rPr>
              <w:t>评标委员会构成：7人及以上单数，由招标人依法组建。</w:t>
            </w:r>
          </w:p>
          <w:p>
            <w:pPr>
              <w:spacing w:line="288" w:lineRule="auto"/>
              <w:rPr>
                <w:rFonts w:ascii="Times New Roman" w:hAnsi="Times New Roman"/>
                <w:color w:val="auto"/>
                <w:highlight w:val="none"/>
              </w:rPr>
            </w:pPr>
            <w:r>
              <w:rPr>
                <w:rFonts w:ascii="Times New Roman" w:hAnsi="Times New Roman"/>
                <w:color w:val="auto"/>
                <w:highlight w:val="none"/>
              </w:rPr>
              <w:t>评标专家确定方式：社会评委从湖南省综合评标专家库中随机抽取。</w:t>
            </w:r>
          </w:p>
          <w:p>
            <w:pPr>
              <w:spacing w:line="320" w:lineRule="exact"/>
              <w:rPr>
                <w:rFonts w:ascii="Times New Roman" w:hAnsi="Times New Roman"/>
                <w:color w:val="auto"/>
                <w:szCs w:val="21"/>
                <w:highlight w:val="none"/>
              </w:rPr>
            </w:pPr>
            <w:r>
              <w:rPr>
                <w:rFonts w:ascii="Times New Roman" w:hAnsi="Times New Roman"/>
                <w:color w:val="auto"/>
                <w:highlight w:val="none"/>
              </w:rPr>
              <w:t>分工：评标委员会主任在与其他评标委员会成员协商的基础上，可以将评标委员会划分为技术组和商务组，但最终评审结果须全体评标委员会一致认可。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20</w:t>
            </w:r>
          </w:p>
        </w:tc>
        <w:tc>
          <w:tcPr>
            <w:tcW w:w="1769" w:type="dxa"/>
            <w:vAlign w:val="center"/>
          </w:tcPr>
          <w:p>
            <w:pPr>
              <w:spacing w:line="350" w:lineRule="exact"/>
              <w:rPr>
                <w:rFonts w:ascii="Times New Roman" w:hAnsi="Times New Roman"/>
                <w:color w:val="auto"/>
                <w:spacing w:val="-10"/>
                <w:szCs w:val="21"/>
                <w:highlight w:val="none"/>
              </w:rPr>
            </w:pPr>
            <w:r>
              <w:rPr>
                <w:rFonts w:ascii="Times New Roman" w:hAnsi="Times New Roman"/>
                <w:color w:val="auto"/>
                <w:szCs w:val="21"/>
                <w:highlight w:val="none"/>
              </w:rPr>
              <w:t>评标方法及标准</w:t>
            </w:r>
          </w:p>
        </w:tc>
        <w:tc>
          <w:tcPr>
            <w:tcW w:w="6898" w:type="dxa"/>
            <w:vAlign w:val="center"/>
          </w:tcPr>
          <w:p>
            <w:pPr>
              <w:spacing w:line="360" w:lineRule="exact"/>
              <w:rPr>
                <w:rFonts w:ascii="Times New Roman" w:hAnsi="Times New Roman"/>
                <w:color w:val="auto"/>
                <w:szCs w:val="21"/>
                <w:highlight w:val="none"/>
              </w:rPr>
            </w:pPr>
            <w:r>
              <w:rPr>
                <w:rFonts w:ascii="Times New Roman" w:hAnsi="Times New Roman"/>
                <w:color w:val="auto"/>
                <w:szCs w:val="21"/>
                <w:highlight w:val="none"/>
              </w:rPr>
              <w:t>依据湘建监督[2018]240号的《湖南省房屋建筑和市政工程监理招标投标管理办法》、《湖南省房屋建筑和市政工程监理招标评标办法》制订，采用综合评估法。</w:t>
            </w:r>
          </w:p>
          <w:p>
            <w:pPr>
              <w:spacing w:line="360" w:lineRule="exact"/>
              <w:jc w:val="left"/>
              <w:rPr>
                <w:rFonts w:ascii="Times New Roman" w:hAnsi="Times New Roman"/>
                <w:color w:val="auto"/>
                <w:szCs w:val="21"/>
                <w:highlight w:val="none"/>
              </w:rPr>
            </w:pPr>
            <w:r>
              <w:rPr>
                <w:rFonts w:ascii="Times New Roman" w:hAnsi="Times New Roman"/>
                <w:b/>
                <w:bCs/>
                <w:color w:val="auto"/>
                <w:szCs w:val="21"/>
                <w:highlight w:val="none"/>
              </w:rPr>
              <w:t>本项目报价计费基数暂按</w:t>
            </w:r>
            <w:r>
              <w:rPr>
                <w:rFonts w:hint="eastAsia" w:ascii="Times New Roman" w:hAnsi="Times New Roman"/>
                <w:b/>
                <w:bCs/>
                <w:color w:val="auto"/>
                <w:szCs w:val="21"/>
                <w:highlight w:val="none"/>
                <w:u w:val="single"/>
                <w:lang w:val="en-US" w:eastAsia="zh-CN"/>
              </w:rPr>
              <w:t>102027.10</w:t>
            </w:r>
            <w:r>
              <w:rPr>
                <w:rFonts w:ascii="Times New Roman" w:hAnsi="Times New Roman"/>
                <w:b/>
                <w:bCs/>
                <w:color w:val="auto"/>
                <w:szCs w:val="21"/>
                <w:highlight w:val="none"/>
              </w:rPr>
              <w:t>万元计算，监理服务费最高投标限价为</w:t>
            </w:r>
            <w:r>
              <w:rPr>
                <w:rFonts w:ascii="Times New Roman" w:hAnsi="Times New Roman"/>
                <w:b/>
                <w:bCs/>
                <w:color w:val="auto"/>
                <w:szCs w:val="21"/>
                <w:highlight w:val="none"/>
                <w:u w:val="single"/>
              </w:rPr>
              <w:t xml:space="preserve"> </w:t>
            </w:r>
            <w:r>
              <w:rPr>
                <w:rFonts w:hint="eastAsia" w:ascii="Times New Roman" w:hAnsi="Times New Roman"/>
                <w:b/>
                <w:bCs/>
                <w:color w:val="auto"/>
                <w:szCs w:val="21"/>
                <w:highlight w:val="none"/>
                <w:u w:val="single"/>
                <w:lang w:val="en-US" w:eastAsia="zh-CN"/>
              </w:rPr>
              <w:t>1320</w:t>
            </w:r>
            <w:r>
              <w:rPr>
                <w:rFonts w:ascii="Times New Roman" w:hAnsi="Times New Roman"/>
                <w:b/>
                <w:bCs/>
                <w:color w:val="auto"/>
                <w:szCs w:val="21"/>
                <w:highlight w:val="none"/>
              </w:rPr>
              <w:t>万元。投标人报价应在最高投标限价与最高投标限价下浮8%之间取值，超过范围的投标报价做废标处理。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21</w:t>
            </w:r>
          </w:p>
        </w:tc>
        <w:tc>
          <w:tcPr>
            <w:tcW w:w="1769" w:type="dxa"/>
            <w:vAlign w:val="center"/>
          </w:tcPr>
          <w:p>
            <w:pPr>
              <w:spacing w:line="320" w:lineRule="exact"/>
              <w:jc w:val="center"/>
              <w:rPr>
                <w:rFonts w:ascii="Times New Roman" w:hAnsi="Times New Roman"/>
                <w:color w:val="auto"/>
                <w:spacing w:val="-10"/>
                <w:szCs w:val="21"/>
                <w:highlight w:val="none"/>
              </w:rPr>
            </w:pPr>
            <w:r>
              <w:rPr>
                <w:rFonts w:ascii="Times New Roman" w:hAnsi="Times New Roman"/>
                <w:color w:val="auto"/>
                <w:szCs w:val="21"/>
                <w:highlight w:val="none"/>
              </w:rPr>
              <w:t>类似工程</w:t>
            </w:r>
          </w:p>
        </w:tc>
        <w:tc>
          <w:tcPr>
            <w:tcW w:w="6898" w:type="dxa"/>
            <w:vAlign w:val="center"/>
          </w:tcPr>
          <w:p>
            <w:pPr>
              <w:spacing w:line="360" w:lineRule="exact"/>
              <w:rPr>
                <w:rFonts w:ascii="Times New Roman" w:hAnsi="Times New Roman"/>
                <w:color w:val="auto"/>
                <w:szCs w:val="21"/>
                <w:highlight w:val="none"/>
              </w:rPr>
            </w:pPr>
            <w:r>
              <w:rPr>
                <w:rFonts w:ascii="Times New Roman" w:hAnsi="Times New Roman"/>
                <w:b/>
                <w:bCs/>
                <w:color w:val="auto"/>
                <w:szCs w:val="21"/>
                <w:highlight w:val="none"/>
              </w:rPr>
              <w:t>本项目类似工程指近四年已完工的监理合同</w:t>
            </w:r>
            <w:r>
              <w:rPr>
                <w:rFonts w:hint="eastAsia" w:ascii="Times New Roman" w:hAnsi="Times New Roman"/>
                <w:b/>
                <w:bCs/>
                <w:color w:val="auto"/>
                <w:szCs w:val="21"/>
                <w:highlight w:val="none"/>
              </w:rPr>
              <w:t>建安</w:t>
            </w:r>
            <w:r>
              <w:rPr>
                <w:rFonts w:ascii="Times New Roman" w:hAnsi="Times New Roman"/>
                <w:b/>
                <w:bCs/>
                <w:color w:val="auto"/>
                <w:szCs w:val="21"/>
                <w:highlight w:val="none"/>
              </w:rPr>
              <w:t>工程造价在</w:t>
            </w:r>
            <w:r>
              <w:rPr>
                <w:rFonts w:hint="eastAsia" w:ascii="Times New Roman" w:hAnsi="Times New Roman"/>
                <w:b/>
                <w:bCs/>
                <w:color w:val="auto"/>
                <w:szCs w:val="21"/>
                <w:highlight w:val="none"/>
              </w:rPr>
              <w:t>45</w:t>
            </w:r>
            <w:r>
              <w:rPr>
                <w:rFonts w:ascii="Times New Roman" w:hAnsi="Times New Roman"/>
                <w:b/>
                <w:bCs/>
                <w:color w:val="auto"/>
                <w:szCs w:val="21"/>
                <w:highlight w:val="none"/>
              </w:rPr>
              <w:t>000万元及以上或者单项合同监理费为</w:t>
            </w:r>
            <w:r>
              <w:rPr>
                <w:rFonts w:hint="eastAsia" w:ascii="Times New Roman" w:hAnsi="Times New Roman"/>
                <w:b/>
                <w:bCs/>
                <w:color w:val="auto"/>
                <w:szCs w:val="21"/>
                <w:highlight w:val="none"/>
                <w:lang w:val="en-US" w:eastAsia="zh-CN"/>
              </w:rPr>
              <w:t>520</w:t>
            </w:r>
            <w:r>
              <w:rPr>
                <w:rFonts w:ascii="Times New Roman" w:hAnsi="Times New Roman"/>
                <w:b/>
                <w:bCs/>
                <w:color w:val="auto"/>
                <w:szCs w:val="21"/>
                <w:highlight w:val="none"/>
              </w:rPr>
              <w:t>万元及以上的</w:t>
            </w:r>
            <w:r>
              <w:rPr>
                <w:rFonts w:hint="eastAsia" w:ascii="Times New Roman" w:hAnsi="Times New Roman"/>
                <w:b/>
                <w:bCs/>
                <w:color w:val="auto"/>
                <w:szCs w:val="21"/>
                <w:highlight w:val="none"/>
              </w:rPr>
              <w:t>市政桥梁</w:t>
            </w:r>
            <w:r>
              <w:rPr>
                <w:rFonts w:ascii="Times New Roman" w:hAnsi="Times New Roman"/>
                <w:b/>
                <w:bCs/>
                <w:color w:val="auto"/>
                <w:szCs w:val="21"/>
                <w:highlight w:val="none"/>
              </w:rPr>
              <w:t>监理项目</w:t>
            </w:r>
            <w:r>
              <w:rPr>
                <w:rFonts w:ascii="Times New Roman" w:hAnsi="Times New Roman"/>
                <w:color w:val="auto"/>
                <w:szCs w:val="21"/>
                <w:highlight w:val="none"/>
              </w:rPr>
              <w:t>（类似工程加分有效期投标人为48个月，拟任总监理工程师、专业监理工程师及监理员为60个月，按监理业务手册上注明的竣工时间计算。招标工程以同时提供的中标通知书、监理合同、监理业务手册原件为准；非招标工程以同时提供监理合同、监理业务手册原件为准；未提供上述资料的或虽提供但不符合要求的，则视同无类似项目经历。）在投标文件中附复印件（或扫描件），方可加分，否则不加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22</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投标文件的</w:t>
            </w:r>
          </w:p>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退还</w:t>
            </w:r>
          </w:p>
        </w:tc>
        <w:tc>
          <w:tcPr>
            <w:tcW w:w="6898" w:type="dxa"/>
            <w:vAlign w:val="center"/>
          </w:tcPr>
          <w:p>
            <w:pPr>
              <w:spacing w:line="320" w:lineRule="exact"/>
              <w:rPr>
                <w:rFonts w:ascii="Times New Roman" w:hAnsi="Times New Roman"/>
                <w:color w:val="auto"/>
                <w:szCs w:val="21"/>
                <w:highlight w:val="none"/>
              </w:rPr>
            </w:pPr>
            <w:r>
              <w:rPr>
                <w:rFonts w:ascii="Times New Roman" w:hAnsi="Times New Roman"/>
                <w:color w:val="auto"/>
                <w:szCs w:val="21"/>
                <w:highlight w:val="none"/>
              </w:rPr>
              <w:t>不退还，由招标人负责保管。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320" w:lineRule="exact"/>
              <w:jc w:val="center"/>
              <w:rPr>
                <w:rFonts w:ascii="Times New Roman" w:hAnsi="Times New Roman"/>
                <w:color w:val="auto"/>
                <w:szCs w:val="21"/>
                <w:highlight w:val="none"/>
              </w:rPr>
            </w:pPr>
            <w:bookmarkStart w:id="181" w:name="_GoBack"/>
            <w:r>
              <w:rPr>
                <w:rFonts w:ascii="Times New Roman" w:hAnsi="Times New Roman"/>
                <w:color w:val="auto"/>
                <w:szCs w:val="21"/>
                <w:highlight w:val="none"/>
              </w:rPr>
              <w:t>23</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构成投标文件的其他材料</w:t>
            </w:r>
          </w:p>
        </w:tc>
        <w:tc>
          <w:tcPr>
            <w:tcW w:w="6898" w:type="dxa"/>
            <w:vAlign w:val="center"/>
          </w:tcPr>
          <w:p>
            <w:pPr>
              <w:spacing w:line="300" w:lineRule="exact"/>
              <w:rPr>
                <w:rFonts w:ascii="Times New Roman" w:hAnsi="Times New Roman" w:eastAsia="黑体"/>
                <w:b/>
                <w:color w:val="auto"/>
                <w:szCs w:val="21"/>
                <w:highlight w:val="none"/>
              </w:rPr>
            </w:pPr>
            <w:r>
              <w:rPr>
                <w:rFonts w:ascii="Times New Roman" w:hAnsi="Times New Roman" w:eastAsia="黑体"/>
                <w:b/>
                <w:color w:val="auto"/>
                <w:szCs w:val="21"/>
                <w:highlight w:val="none"/>
              </w:rPr>
              <w:t>开标时要求提交的证书及证明原件如下（未提供的，按不合格投标人处理）：</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（1）营业执照；</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（2）企业资质等级证书副本；</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（3）按照湘建建[2015]190号文已在《湖南住房和城乡建设网》上发布了其企业基本信息；（仅省外监理企业提供）；</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（4）企业基本户开户许可证；</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（5）项目总监理工程师的注册证书；</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（6）现场监理部关键岗位人员（总监理工程师除外）的岗位资格证书；</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（7）总监理工程师的社会养老保险证明材料（提供由劳动保障部门出具的近一年内连续六个月的投标人为其缴纳社会养老保险的证明材料原件）。</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投标人须知正文第25.3.4款所规定原件。</w:t>
            </w:r>
          </w:p>
          <w:p>
            <w:pPr>
              <w:spacing w:line="300" w:lineRule="exact"/>
              <w:rPr>
                <w:rFonts w:ascii="Times New Roman" w:hAnsi="Times New Roman" w:eastAsia="黑体"/>
                <w:b/>
                <w:color w:val="auto"/>
                <w:szCs w:val="21"/>
                <w:highlight w:val="none"/>
              </w:rPr>
            </w:pPr>
            <w:r>
              <w:rPr>
                <w:rFonts w:ascii="Times New Roman" w:hAnsi="Times New Roman" w:eastAsia="黑体"/>
                <w:b/>
                <w:color w:val="auto"/>
                <w:szCs w:val="21"/>
                <w:highlight w:val="none"/>
              </w:rPr>
              <w:t>评标时可能用到的加分或扣分项目的证书及证明原件：</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（1）企业及现场监理部人员的相关获奖证书或表彰文件；</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（2）企业及现场监理部人员的类似项目经历证明文件</w:t>
            </w:r>
            <w:r>
              <w:rPr>
                <w:rFonts w:ascii="Times New Roman" w:hAnsi="Times New Roman" w:eastAsia="黑体"/>
                <w:b/>
                <w:bCs/>
                <w:color w:val="auto"/>
                <w:szCs w:val="21"/>
                <w:highlight w:val="none"/>
              </w:rPr>
              <w:t>（评标时须核验其合同协议书、中标通知书（若为招标工程）、业务手册原件，未提供上述资料的或虽提供但不符合要求的，则视同无类似项目经历）；</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（3）投标人及拟任项目总监理工程师的不良行为记录发生情况（注：《湖南省建筑市场责任主体不良行为记录名单》不需投标人提供）；</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（4）企业诚信等级、安全认证证书或证明文件（如有）；</w:t>
            </w:r>
          </w:p>
          <w:p>
            <w:pPr>
              <w:widowControl/>
              <w:spacing w:line="300" w:lineRule="exact"/>
              <w:jc w:val="left"/>
              <w:rPr>
                <w:rFonts w:ascii="Times New Roman" w:hAnsi="Times New Roman" w:eastAsia="黑体"/>
                <w:b/>
                <w:color w:val="auto"/>
                <w:szCs w:val="21"/>
                <w:highlight w:val="none"/>
              </w:rPr>
            </w:pPr>
            <w:r>
              <w:rPr>
                <w:rFonts w:ascii="Times New Roman" w:hAnsi="Times New Roman"/>
                <w:color w:val="auto"/>
                <w:szCs w:val="21"/>
                <w:highlight w:val="none"/>
              </w:rPr>
              <w:t>（5）招标文件投标人须知及其前附表、评标办法及其他部分中规定的需验证的相关证件及证明文件。</w:t>
            </w:r>
          </w:p>
          <w:p>
            <w:pPr>
              <w:spacing w:line="300" w:lineRule="exact"/>
              <w:rPr>
                <w:rFonts w:ascii="Times New Roman" w:hAnsi="Times New Roman" w:eastAsia="黑体"/>
                <w:b/>
                <w:color w:val="auto"/>
                <w:szCs w:val="21"/>
                <w:highlight w:val="none"/>
              </w:rPr>
            </w:pPr>
            <w:r>
              <w:rPr>
                <w:rFonts w:ascii="Times New Roman" w:hAnsi="Times New Roman" w:eastAsia="黑体"/>
                <w:b/>
                <w:color w:val="auto"/>
                <w:szCs w:val="21"/>
                <w:highlight w:val="none"/>
              </w:rPr>
              <w:t>【特别说明】：</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（1）如果以上原件正在年检，则必须提供年检单位出具的有效盖章证明原件。</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（2）投标人应将以上原件装入文件袋内单独提交，原件需列详细清单。</w:t>
            </w:r>
          </w:p>
          <w:p>
            <w:pPr>
              <w:widowControl/>
              <w:spacing w:line="300" w:lineRule="exact"/>
              <w:jc w:val="left"/>
              <w:rPr>
                <w:rFonts w:ascii="Times New Roman" w:hAnsi="Times New Roman"/>
                <w:color w:val="auto"/>
                <w:szCs w:val="21"/>
                <w:highlight w:val="none"/>
              </w:rPr>
            </w:pPr>
            <w:r>
              <w:rPr>
                <w:rFonts w:ascii="Times New Roman" w:hAnsi="Times New Roman"/>
                <w:color w:val="auto"/>
                <w:szCs w:val="21"/>
                <w:highlight w:val="none"/>
              </w:rPr>
              <w:t>（3）现场监理部关键岗位人员证书原件按投标人实际配备的现场监理部岗位人员核查，但投标人必须满足本项目建设规模和招标文件所要求的最低岗位人员配备标准。</w:t>
            </w:r>
          </w:p>
          <w:p>
            <w:pPr>
              <w:widowControl/>
              <w:spacing w:line="300" w:lineRule="exact"/>
              <w:jc w:val="left"/>
              <w:rPr>
                <w:rFonts w:ascii="Times New Roman" w:hAnsi="Times New Roman"/>
                <w:color w:val="auto"/>
                <w:szCs w:val="21"/>
                <w:highlight w:val="none"/>
              </w:rPr>
            </w:pPr>
            <w:r>
              <w:rPr>
                <w:rFonts w:ascii="Times New Roman" w:hAnsi="Times New Roman" w:eastAsia="黑体"/>
                <w:b/>
                <w:color w:val="auto"/>
                <w:szCs w:val="21"/>
                <w:highlight w:val="none"/>
              </w:rPr>
              <w:t>（4）根据湖南省住房和城乡建设厅关于转发《住房和城乡建设部办公厅关于规范使用建筑业企业资质证书的通知》的通知（湘建监督[2016]111号）要求，投标人投标时不需提供建筑业企业资质证书原件，但应提供与原件一致的复印件，投标人应对其资质证书复印件和原件的一致性负责。评标时评标委员会可通过建筑业企业资质证书副本复印件二维码查询企业资质情况。</w:t>
            </w:r>
          </w:p>
        </w:tc>
      </w:tr>
      <w:bookmarkEnd w:id="181"/>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spacing w:line="280" w:lineRule="exact"/>
              <w:jc w:val="center"/>
              <w:rPr>
                <w:rFonts w:ascii="Times New Roman" w:hAnsi="Times New Roman"/>
                <w:color w:val="auto"/>
                <w:szCs w:val="21"/>
                <w:highlight w:val="none"/>
              </w:rPr>
            </w:pPr>
            <w:r>
              <w:rPr>
                <w:rFonts w:ascii="Times New Roman" w:hAnsi="Times New Roman"/>
                <w:color w:val="auto"/>
                <w:szCs w:val="21"/>
                <w:highlight w:val="none"/>
              </w:rPr>
              <w:t>24</w:t>
            </w:r>
          </w:p>
        </w:tc>
        <w:tc>
          <w:tcPr>
            <w:tcW w:w="1769" w:type="dxa"/>
            <w:vAlign w:val="center"/>
          </w:tcPr>
          <w:p>
            <w:pPr>
              <w:spacing w:line="300" w:lineRule="exact"/>
              <w:jc w:val="center"/>
              <w:rPr>
                <w:rFonts w:ascii="Times New Roman" w:hAnsi="Times New Roman"/>
                <w:color w:val="auto"/>
                <w:szCs w:val="21"/>
                <w:highlight w:val="none"/>
              </w:rPr>
            </w:pPr>
            <w:r>
              <w:rPr>
                <w:rFonts w:ascii="Times New Roman" w:hAnsi="Times New Roman"/>
                <w:color w:val="auto"/>
                <w:szCs w:val="21"/>
                <w:highlight w:val="none"/>
              </w:rPr>
              <w:t>不良行为记录</w:t>
            </w:r>
          </w:p>
        </w:tc>
        <w:tc>
          <w:tcPr>
            <w:tcW w:w="6898" w:type="dxa"/>
            <w:vAlign w:val="center"/>
          </w:tcPr>
          <w:p>
            <w:pPr>
              <w:widowControl/>
              <w:adjustRightInd w:val="0"/>
              <w:snapToGrid w:val="0"/>
              <w:spacing w:line="320" w:lineRule="exact"/>
              <w:jc w:val="left"/>
              <w:rPr>
                <w:rFonts w:ascii="Times New Roman" w:hAnsi="Times New Roman"/>
                <w:color w:val="auto"/>
                <w:szCs w:val="21"/>
                <w:highlight w:val="none"/>
              </w:rPr>
            </w:pPr>
            <w:r>
              <w:rPr>
                <w:rFonts w:ascii="Times New Roman" w:hAnsi="Times New Roman"/>
                <w:color w:val="auto"/>
                <w:szCs w:val="21"/>
                <w:highlight w:val="none"/>
              </w:rPr>
              <w:t xml:space="preserve">    不良行为记录包括工程质量、安全生产、市场行为等方面的情况。省住房和城乡建设厅发布的《湖南省建筑市场责任主体不良行为记录》是确认本省行政区域内不良行为记录的依据，其有效期限统一按省住房和城乡建设厅发布《湖南省建筑市场责任主体不良行为记录》的时间计算。</w:t>
            </w:r>
          </w:p>
          <w:p>
            <w:pPr>
              <w:widowControl/>
              <w:adjustRightInd w:val="0"/>
              <w:snapToGrid w:val="0"/>
              <w:spacing w:line="320" w:lineRule="exact"/>
              <w:ind w:firstLine="420"/>
              <w:jc w:val="left"/>
              <w:rPr>
                <w:rFonts w:ascii="Times New Roman" w:hAnsi="Times New Roman"/>
                <w:color w:val="auto"/>
                <w:szCs w:val="21"/>
                <w:highlight w:val="none"/>
              </w:rPr>
            </w:pPr>
            <w:r>
              <w:rPr>
                <w:rFonts w:ascii="Times New Roman" w:hAnsi="Times New Roman"/>
                <w:color w:val="auto"/>
                <w:szCs w:val="21"/>
                <w:highlight w:val="none"/>
              </w:rPr>
              <w:t>本省行政区域外符合以下两种情形之一的不良行为记录，作为我省在房屋建筑和市政工程招标评标中的扣分依据：1.住房和城乡建设部统一在全国公布的；2.由外省（自治区、直辖市）建设行政主管部门在当地建筑市场信息平台上统一公布的，其认定标准、认定程序、结果运用与我省规定基本一致，且直接运用于招投标，在评标时采取单项次扣分的。对外省不良行为记录认定标准、认定程序、结果运用与我省规定差别较大，且不直接运用于招投标，在评标中不采取单项次扣分的（如只综合运用于信用等级评价），不作为我省在房屋建筑和市政工程招标评标中的直接扣分依据。本省行政区域外不良行为记录扣分有效期统一按照我省规定执行。当外省相关部门没有确定不良行为记录程度为一般或严重时，按照我省认定标准确认。</w:t>
            </w:r>
          </w:p>
          <w:p>
            <w:pPr>
              <w:widowControl/>
              <w:adjustRightInd w:val="0"/>
              <w:snapToGrid w:val="0"/>
              <w:spacing w:line="320" w:lineRule="exact"/>
              <w:jc w:val="left"/>
              <w:rPr>
                <w:rFonts w:ascii="Times New Roman" w:hAnsi="Times New Roman"/>
                <w:color w:val="auto"/>
                <w:szCs w:val="21"/>
                <w:highlight w:val="none"/>
              </w:rPr>
            </w:pPr>
            <w:r>
              <w:rPr>
                <w:rFonts w:ascii="Times New Roman" w:hAnsi="Times New Roman"/>
                <w:color w:val="auto"/>
                <w:szCs w:val="21"/>
                <w:highlight w:val="none"/>
              </w:rPr>
              <w:t xml:space="preserve">    省外企业应当在投标文件中如实反映和提供企业及其拟任总监理工程师、专业监理工程师有效期限内符合上述规定的不良行为记录，并附企业注册所在地省级建设行政主管部门的证明文件原件或相关官方网站下载资料。当投标人未按要求提供不良记录相关资料时，拟任本招标项目的总监理工程师、专业监理工程师不良行为记录项目分别扣7分，投标人不良行为记录扣10分。</w:t>
            </w:r>
          </w:p>
          <w:p>
            <w:pPr>
              <w:widowControl/>
              <w:adjustRightInd w:val="0"/>
              <w:snapToGrid w:val="0"/>
              <w:spacing w:line="32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企业不良行为记录扣分有效期为180天，拟任总监理工程师、专业监理工程师不良行为记录扣分有效期为720天（省内企业以开标前省住房和城乡建设厅已发文件为准），按不良行为记录的相关规定计算；省建筑施工安全生产标准化季度考评不合格项目扣分有效期为90天（以开标前省住房和城乡建设厅已发文件为准）。</w:t>
            </w:r>
          </w:p>
          <w:p>
            <w:pPr>
              <w:spacing w:line="36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根据《关于印发湖南省建筑市场违法违规不良行为记录公布制度的通知》（湘建建[2015]185号）文件的要求，湖南省住房和城乡建设厅2016年1月1日之前公布的不良行为记录有效期同时终止。因此本项目只计算2016年1月1日之后公布的不良行为记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adjustRightInd w:val="0"/>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25</w:t>
            </w:r>
          </w:p>
        </w:tc>
        <w:tc>
          <w:tcPr>
            <w:tcW w:w="1769" w:type="dxa"/>
            <w:vAlign w:val="center"/>
          </w:tcPr>
          <w:p>
            <w:pPr>
              <w:spacing w:line="320" w:lineRule="exact"/>
              <w:jc w:val="center"/>
              <w:rPr>
                <w:rFonts w:ascii="Times New Roman" w:hAnsi="Times New Roman"/>
                <w:color w:val="auto"/>
                <w:szCs w:val="21"/>
                <w:highlight w:val="none"/>
              </w:rPr>
            </w:pPr>
            <w:r>
              <w:rPr>
                <w:rFonts w:ascii="Times New Roman" w:hAnsi="Times New Roman"/>
                <w:bCs/>
                <w:color w:val="auto"/>
                <w:kern w:val="0"/>
                <w:highlight w:val="none"/>
              </w:rPr>
              <w:t>工程获奖情况</w:t>
            </w:r>
          </w:p>
        </w:tc>
        <w:tc>
          <w:tcPr>
            <w:tcW w:w="6898" w:type="dxa"/>
          </w:tcPr>
          <w:p>
            <w:pPr>
              <w:spacing w:line="320" w:lineRule="exact"/>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投标人应当提供获奖工程的公布文件，如果获奖工程的公布文件没有载明企业、总监理工程师，则以企业提供的相应中标通知书、监理合同、监理业务手册等证明资料为准。如果招标项目的工程类型与获奖工程的工程类型不一致，则该获奖工程不加分</w:t>
            </w:r>
            <w:r>
              <w:rPr>
                <w:rFonts w:ascii="Times New Roman" w:hAnsi="Times New Roman"/>
                <w:b w:val="0"/>
                <w:bCs w:val="0"/>
                <w:color w:val="auto"/>
                <w:kern w:val="0"/>
                <w:szCs w:val="21"/>
                <w:highlight w:val="none"/>
              </w:rPr>
              <w:t>（即房建获奖工程不能加到市政工程，市政获奖工程不能加到房建工程）。</w:t>
            </w:r>
            <w:r>
              <w:rPr>
                <w:rFonts w:ascii="Times New Roman" w:hAnsi="Times New Roman"/>
                <w:color w:val="auto"/>
                <w:kern w:val="0"/>
                <w:szCs w:val="21"/>
                <w:highlight w:val="none"/>
              </w:rPr>
              <w:t xml:space="preserve">招标项目的工程规模及面积没有达到相应奖项所要求的规模及面积时，该奖项不加分；其中外省（市）的奖项以本省相应奖项的规模及面积要求为准，在全国范围组织学习交流的建设工程项目施工安全生产标准化工地、全国建筑工程装饰奖以芙蓉奖的规模及面积要求为准；外省（市）由省级建设行政主管部门或省级建筑业协会评定的综合工程质量奖项按省优质工程奖加分，投标人如能提供每年该奖项工程数量控制在50项以内的有效证明文件，则该获奖工程按芙蓉奖加分。拟任本招标项目的总监理工程师的奖项加分不超过1项；企业及拟任本招标项目的总监理工程师对同类奖项（包括同一工程）的奖项加分，只能按最高奖项（级）加（计）分，不得重复加（计）分。鲁班奖、在全国范围组织学习交流的建设工程项目施工安全生产标准化工地、全国建筑工程装饰奖累计加分不超过2项。芙蓉奖、省优质工程加分累计不超过3项时，省建筑施工安全生产标准化年度项目考评优良工地加分累计不超过25项。 </w:t>
            </w:r>
          </w:p>
          <w:p>
            <w:pPr>
              <w:spacing w:line="320" w:lineRule="exact"/>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企业及其拟任总监理工程师获奖加分，鲁班奖以提交截止时间前最新（近）的2个年度为准，其他奖项均以最新（近）的1个年度情况为准。按文件公布时间计算。</w:t>
            </w:r>
          </w:p>
          <w:p>
            <w:pPr>
              <w:spacing w:line="320" w:lineRule="exact"/>
              <w:ind w:firstLine="422" w:firstLineChars="200"/>
              <w:rPr>
                <w:rFonts w:ascii="Times New Roman" w:hAnsi="Times New Roman"/>
                <w:color w:val="auto"/>
                <w:szCs w:val="21"/>
                <w:highlight w:val="none"/>
              </w:rPr>
            </w:pPr>
            <w:r>
              <w:rPr>
                <w:rFonts w:ascii="Times New Roman" w:hAnsi="Times New Roman" w:eastAsia="黑体"/>
                <w:b/>
                <w:bCs/>
                <w:color w:val="auto"/>
                <w:szCs w:val="22"/>
                <w:highlight w:val="none"/>
              </w:rPr>
              <w:t>本招标项目对</w:t>
            </w:r>
            <w:r>
              <w:rPr>
                <w:rFonts w:hint="eastAsia" w:ascii="Times New Roman" w:hAnsi="Times New Roman" w:eastAsia="黑体"/>
                <w:b/>
                <w:bCs/>
                <w:color w:val="auto"/>
                <w:szCs w:val="22"/>
                <w:highlight w:val="none"/>
                <w:lang w:eastAsia="zh-CN"/>
              </w:rPr>
              <w:t>市政工程类的</w:t>
            </w:r>
            <w:r>
              <w:rPr>
                <w:rFonts w:ascii="Times New Roman" w:hAnsi="Times New Roman" w:eastAsia="黑体"/>
                <w:b/>
                <w:bCs/>
                <w:color w:val="auto"/>
                <w:szCs w:val="22"/>
                <w:highlight w:val="none"/>
              </w:rPr>
              <w:t>鲁班奖、</w:t>
            </w:r>
            <w:r>
              <w:rPr>
                <w:rFonts w:hint="eastAsia" w:ascii="Times New Roman" w:hAnsi="Times New Roman" w:eastAsia="黑体"/>
                <w:b/>
                <w:bCs/>
                <w:color w:val="auto"/>
                <w:szCs w:val="22"/>
                <w:highlight w:val="none"/>
                <w:lang w:eastAsia="zh-CN"/>
              </w:rPr>
              <w:t>芙蓉奖、</w:t>
            </w:r>
            <w:r>
              <w:rPr>
                <w:rFonts w:ascii="Times New Roman" w:hAnsi="Times New Roman" w:eastAsia="黑体"/>
                <w:b/>
                <w:bCs/>
                <w:color w:val="auto"/>
                <w:szCs w:val="22"/>
                <w:highlight w:val="none"/>
              </w:rPr>
              <w:t>省优质工程奖、全国范围组织学习交流的建设工程项目施工安全生产标准化工地</w:t>
            </w:r>
            <w:r>
              <w:rPr>
                <w:rFonts w:hint="eastAsia" w:ascii="Times New Roman" w:hAnsi="Times New Roman" w:eastAsia="黑体"/>
                <w:b/>
                <w:bCs/>
                <w:color w:val="auto"/>
                <w:szCs w:val="22"/>
                <w:highlight w:val="none"/>
                <w:lang w:eastAsia="zh-CN"/>
              </w:rPr>
              <w:t>、</w:t>
            </w:r>
            <w:r>
              <w:rPr>
                <w:rFonts w:ascii="Times New Roman" w:hAnsi="Times New Roman" w:eastAsia="黑体"/>
                <w:b/>
                <w:bCs/>
                <w:color w:val="auto"/>
                <w:szCs w:val="22"/>
                <w:highlight w:val="none"/>
              </w:rPr>
              <w:t>省建筑施工安全生产标准化年度项目考评优良工地予以加分，</w:t>
            </w:r>
            <w:r>
              <w:rPr>
                <w:rFonts w:hint="eastAsia" w:ascii="Times New Roman" w:hAnsi="Times New Roman" w:eastAsia="黑体"/>
                <w:b/>
                <w:bCs/>
                <w:color w:val="auto"/>
                <w:szCs w:val="22"/>
                <w:highlight w:val="none"/>
                <w:lang w:eastAsia="zh-CN"/>
              </w:rPr>
              <w:t>本项目仅对市政工程获奖项目加分，</w:t>
            </w:r>
            <w:r>
              <w:rPr>
                <w:rFonts w:ascii="Times New Roman" w:hAnsi="Times New Roman" w:eastAsia="黑体"/>
                <w:b/>
                <w:bCs/>
                <w:color w:val="auto"/>
                <w:szCs w:val="22"/>
                <w:highlight w:val="none"/>
              </w:rPr>
              <w:t>其它奖项未达到规模均不加分。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adjustRightInd w:val="0"/>
              <w:snapToGrid w:val="0"/>
              <w:spacing w:line="300" w:lineRule="exact"/>
              <w:jc w:val="center"/>
              <w:rPr>
                <w:rFonts w:ascii="Times New Roman" w:hAnsi="Times New Roman"/>
                <w:color w:val="auto"/>
                <w:szCs w:val="21"/>
                <w:highlight w:val="none"/>
              </w:rPr>
            </w:pPr>
            <w:r>
              <w:rPr>
                <w:rFonts w:ascii="Times New Roman" w:hAnsi="Times New Roman"/>
                <w:color w:val="auto"/>
                <w:szCs w:val="21"/>
                <w:highlight w:val="none"/>
              </w:rPr>
              <w:t>26</w:t>
            </w:r>
          </w:p>
        </w:tc>
        <w:tc>
          <w:tcPr>
            <w:tcW w:w="1769" w:type="dxa"/>
            <w:vAlign w:val="center"/>
          </w:tcPr>
          <w:p>
            <w:pPr>
              <w:spacing w:line="300" w:lineRule="exact"/>
              <w:rPr>
                <w:rFonts w:ascii="Times New Roman" w:hAnsi="Times New Roman"/>
                <w:bCs/>
                <w:color w:val="auto"/>
                <w:kern w:val="0"/>
                <w:highlight w:val="none"/>
              </w:rPr>
            </w:pPr>
            <w:r>
              <w:rPr>
                <w:rFonts w:ascii="Times New Roman" w:hAnsi="Times New Roman"/>
                <w:bCs/>
                <w:color w:val="auto"/>
                <w:kern w:val="0"/>
                <w:highlight w:val="none"/>
              </w:rPr>
              <w:t>投标人代表出席开标会身份验证</w:t>
            </w:r>
          </w:p>
        </w:tc>
        <w:tc>
          <w:tcPr>
            <w:tcW w:w="6898" w:type="dxa"/>
          </w:tcPr>
          <w:p>
            <w:pPr>
              <w:widowControl/>
              <w:adjustRightInd w:val="0"/>
              <w:snapToGrid w:val="0"/>
              <w:spacing w:line="300" w:lineRule="exact"/>
              <w:jc w:val="left"/>
              <w:rPr>
                <w:rFonts w:ascii="Times New Roman" w:hAnsi="Times New Roman"/>
                <w:b/>
                <w:bCs/>
                <w:color w:val="auto"/>
                <w:szCs w:val="21"/>
                <w:highlight w:val="none"/>
              </w:rPr>
            </w:pPr>
            <w:r>
              <w:rPr>
                <w:rFonts w:ascii="Times New Roman" w:hAnsi="Times New Roman"/>
                <w:color w:val="auto"/>
                <w:szCs w:val="21"/>
                <w:highlight w:val="none"/>
              </w:rPr>
              <w:t xml:space="preserve"> </w:t>
            </w:r>
            <w:r>
              <w:rPr>
                <w:rFonts w:ascii="Times New Roman" w:hAnsi="Times New Roman"/>
                <w:b/>
                <w:bCs/>
                <w:color w:val="auto"/>
                <w:szCs w:val="21"/>
                <w:highlight w:val="none"/>
              </w:rPr>
              <w:t xml:space="preserve">   投标人法定代表人或委托代理人（授权委托代理人必须为拟任本项目的总监理工程师）须亲自到场参加开标</w:t>
            </w:r>
            <w:r>
              <w:rPr>
                <w:rFonts w:ascii="Times New Roman" w:hAnsi="Times New Roman" w:eastAsia="楷体_GB2312"/>
                <w:b/>
                <w:bCs/>
                <w:color w:val="auto"/>
                <w:kern w:val="0"/>
                <w:sz w:val="22"/>
                <w:szCs w:val="22"/>
                <w:highlight w:val="none"/>
              </w:rPr>
              <w:t>。</w:t>
            </w:r>
          </w:p>
          <w:p>
            <w:pPr>
              <w:spacing w:line="300" w:lineRule="exact"/>
              <w:ind w:firstLine="420" w:firstLineChars="200"/>
              <w:rPr>
                <w:rFonts w:ascii="Times New Roman" w:hAnsi="Times New Roman"/>
                <w:b/>
                <w:bCs/>
                <w:color w:val="auto"/>
                <w:szCs w:val="21"/>
                <w:highlight w:val="none"/>
              </w:rPr>
            </w:pPr>
            <w:r>
              <w:rPr>
                <w:rFonts w:ascii="Times New Roman" w:hAnsi="Times New Roman"/>
                <w:color w:val="auto"/>
                <w:szCs w:val="21"/>
                <w:highlight w:val="none"/>
              </w:rPr>
              <w:t>以上人员在招标人按开标程序进行点名时，向招标人提交法定代表人身份证明文件、法定代表人授权委托书，出示本人身份证、总监理工程师证以证明其出席。否则，为不合格投标人。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adjustRightInd w:val="0"/>
              <w:snapToGrid w:val="0"/>
              <w:spacing w:line="300" w:lineRule="exact"/>
              <w:jc w:val="center"/>
              <w:rPr>
                <w:rFonts w:ascii="Times New Roman" w:hAnsi="Times New Roman"/>
                <w:color w:val="auto"/>
                <w:szCs w:val="21"/>
                <w:highlight w:val="none"/>
              </w:rPr>
            </w:pPr>
            <w:r>
              <w:rPr>
                <w:rFonts w:ascii="Times New Roman" w:hAnsi="Times New Roman"/>
                <w:color w:val="auto"/>
                <w:szCs w:val="21"/>
                <w:highlight w:val="none"/>
              </w:rPr>
              <w:t>27</w:t>
            </w:r>
          </w:p>
        </w:tc>
        <w:tc>
          <w:tcPr>
            <w:tcW w:w="1769" w:type="dxa"/>
            <w:vAlign w:val="center"/>
          </w:tcPr>
          <w:p>
            <w:pPr>
              <w:spacing w:line="300" w:lineRule="exact"/>
              <w:rPr>
                <w:rFonts w:ascii="Times New Roman" w:hAnsi="Times New Roman"/>
                <w:bCs/>
                <w:color w:val="auto"/>
                <w:kern w:val="0"/>
                <w:highlight w:val="none"/>
              </w:rPr>
            </w:pPr>
            <w:r>
              <w:rPr>
                <w:rFonts w:ascii="Times New Roman" w:hAnsi="Times New Roman"/>
                <w:color w:val="auto"/>
                <w:kern w:val="0"/>
                <w:szCs w:val="21"/>
                <w:highlight w:val="none"/>
              </w:rPr>
              <w:t>建设工程交易服务费和招标代理服务费</w:t>
            </w:r>
          </w:p>
        </w:tc>
        <w:tc>
          <w:tcPr>
            <w:tcW w:w="6898" w:type="dxa"/>
          </w:tcPr>
          <w:p>
            <w:pPr>
              <w:numPr>
                <w:ilvl w:val="0"/>
                <w:numId w:val="3"/>
              </w:numPr>
              <w:spacing w:line="300" w:lineRule="exact"/>
              <w:rPr>
                <w:rFonts w:hint="eastAsia" w:ascii="Times New Roman" w:hAnsi="Times New Roman"/>
                <w:color w:val="auto"/>
                <w:highlight w:val="none"/>
              </w:rPr>
            </w:pPr>
            <w:r>
              <w:rPr>
                <w:rFonts w:ascii="Times New Roman" w:hAnsi="Times New Roman"/>
                <w:color w:val="auto"/>
                <w:highlight w:val="none"/>
              </w:rPr>
              <w:t>招标人和中标人在中标通知书发出之前，招标人和中标人须向株洲市招投标交易中心交纳交易服务费，</w:t>
            </w:r>
            <w:r>
              <w:rPr>
                <w:rFonts w:hint="eastAsia" w:ascii="Times New Roman" w:hAnsi="Times New Roman"/>
                <w:color w:val="auto"/>
                <w:highlight w:val="none"/>
              </w:rPr>
              <w:t>收费标准按</w:t>
            </w:r>
            <w:r>
              <w:rPr>
                <w:rFonts w:hint="eastAsia" w:ascii="Times New Roman" w:hAnsi="Times New Roman"/>
                <w:color w:val="auto"/>
                <w:highlight w:val="none"/>
                <w:lang w:val="en-US" w:eastAsia="zh-CN"/>
              </w:rPr>
              <w:t>湘发改价费〔2019〕366号</w:t>
            </w:r>
            <w:r>
              <w:rPr>
                <w:rFonts w:hint="eastAsia" w:ascii="Times New Roman" w:hAnsi="Times New Roman"/>
                <w:color w:val="auto"/>
                <w:highlight w:val="none"/>
              </w:rPr>
              <w:t>文件规定。</w:t>
            </w:r>
          </w:p>
          <w:p>
            <w:pPr>
              <w:numPr>
                <w:ilvl w:val="0"/>
                <w:numId w:val="3"/>
              </w:numPr>
              <w:spacing w:line="300" w:lineRule="exact"/>
              <w:rPr>
                <w:rFonts w:ascii="Times New Roman" w:hAnsi="Times New Roman"/>
                <w:color w:val="auto"/>
                <w:kern w:val="0"/>
                <w:szCs w:val="21"/>
                <w:highlight w:val="none"/>
              </w:rPr>
            </w:pPr>
            <w:r>
              <w:rPr>
                <w:rFonts w:ascii="Times New Roman" w:hAnsi="Times New Roman"/>
                <w:color w:val="auto"/>
                <w:highlight w:val="none"/>
              </w:rPr>
              <w:t>本项目招标代理服务费约定：招标代理服务费用由招标人支付</w:t>
            </w:r>
            <w:r>
              <w:rPr>
                <w:rFonts w:ascii="Times New Roman" w:hAnsi="Times New Roman"/>
                <w:color w:val="auto"/>
                <w:kern w:val="0"/>
                <w:szCs w:val="21"/>
                <w:highlight w:val="none"/>
              </w:rPr>
              <w:t>。招标代理服务费的币种：人民币。</w:t>
            </w:r>
          </w:p>
          <w:p>
            <w:pPr>
              <w:spacing w:line="300" w:lineRule="exact"/>
              <w:rPr>
                <w:rFonts w:ascii="Times New Roman" w:hAnsi="Times New Roman"/>
                <w:b/>
                <w:bCs/>
                <w:color w:val="auto"/>
                <w:szCs w:val="21"/>
                <w:highlight w:val="none"/>
              </w:rPr>
            </w:pPr>
            <w:r>
              <w:rPr>
                <w:rFonts w:ascii="Times New Roman" w:hAnsi="Times New Roman"/>
                <w:color w:val="auto"/>
                <w:kern w:val="0"/>
                <w:szCs w:val="21"/>
                <w:highlight w:val="none"/>
              </w:rPr>
              <w:t>（3）招标代理服务费的支付方式及支付时间：以招标代理合同约定为准。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adjustRightInd w:val="0"/>
              <w:snapToGrid w:val="0"/>
              <w:spacing w:line="300" w:lineRule="exact"/>
              <w:jc w:val="center"/>
              <w:rPr>
                <w:rFonts w:ascii="Times New Roman" w:hAnsi="Times New Roman"/>
                <w:color w:val="auto"/>
                <w:szCs w:val="21"/>
                <w:highlight w:val="none"/>
              </w:rPr>
            </w:pPr>
            <w:r>
              <w:rPr>
                <w:rFonts w:ascii="Times New Roman" w:hAnsi="Times New Roman"/>
                <w:color w:val="auto"/>
                <w:szCs w:val="21"/>
                <w:highlight w:val="none"/>
              </w:rPr>
              <w:t>28</w:t>
            </w:r>
          </w:p>
        </w:tc>
        <w:tc>
          <w:tcPr>
            <w:tcW w:w="1769" w:type="dxa"/>
            <w:vAlign w:val="center"/>
          </w:tcPr>
          <w:p>
            <w:pPr>
              <w:spacing w:line="260" w:lineRule="exact"/>
              <w:jc w:val="center"/>
              <w:rPr>
                <w:rFonts w:ascii="Times New Roman" w:hAnsi="Times New Roman"/>
                <w:color w:val="auto"/>
                <w:kern w:val="0"/>
                <w:szCs w:val="21"/>
                <w:highlight w:val="none"/>
              </w:rPr>
            </w:pPr>
            <w:r>
              <w:rPr>
                <w:rFonts w:ascii="Times New Roman" w:hAnsi="Times New Roman"/>
                <w:color w:val="auto"/>
                <w:szCs w:val="21"/>
                <w:highlight w:val="none"/>
              </w:rPr>
              <w:t>是否授权评标委员会确定中标人</w:t>
            </w:r>
          </w:p>
        </w:tc>
        <w:tc>
          <w:tcPr>
            <w:tcW w:w="6898" w:type="dxa"/>
            <w:vAlign w:val="center"/>
          </w:tcPr>
          <w:p>
            <w:pPr>
              <w:spacing w:line="260" w:lineRule="exact"/>
              <w:rPr>
                <w:rFonts w:ascii="Times New Roman" w:hAnsi="Times New Roman"/>
                <w:color w:val="auto"/>
                <w:kern w:val="0"/>
                <w:szCs w:val="21"/>
                <w:highlight w:val="none"/>
              </w:rPr>
            </w:pPr>
            <w:r>
              <w:rPr>
                <w:rFonts w:ascii="Times New Roman" w:hAnsi="Times New Roman"/>
                <w:color w:val="auto"/>
                <w:szCs w:val="21"/>
                <w:highlight w:val="none"/>
              </w:rPr>
              <w:t>■否，推荐的中标候选人数：</w:t>
            </w:r>
            <w:r>
              <w:rPr>
                <w:rFonts w:ascii="Times New Roman" w:hAnsi="Times New Roman"/>
                <w:color w:val="auto"/>
                <w:szCs w:val="21"/>
                <w:highlight w:val="none"/>
                <w:u w:val="single"/>
              </w:rPr>
              <w:t xml:space="preserve"> 1-3 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5" w:type="dxa"/>
            <w:vAlign w:val="center"/>
          </w:tcPr>
          <w:p>
            <w:pPr>
              <w:adjustRightInd w:val="0"/>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29</w:t>
            </w:r>
          </w:p>
        </w:tc>
        <w:tc>
          <w:tcPr>
            <w:tcW w:w="1769" w:type="dxa"/>
            <w:vAlign w:val="center"/>
          </w:tcPr>
          <w:p>
            <w:pPr>
              <w:adjustRightInd w:val="0"/>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 xml:space="preserve">备注 </w:t>
            </w:r>
          </w:p>
        </w:tc>
        <w:tc>
          <w:tcPr>
            <w:tcW w:w="6898" w:type="dxa"/>
            <w:vAlign w:val="center"/>
          </w:tcPr>
          <w:p>
            <w:pPr>
              <w:adjustRightInd w:val="0"/>
              <w:snapToGrid w:val="0"/>
              <w:spacing w:line="400" w:lineRule="exact"/>
              <w:rPr>
                <w:rFonts w:ascii="Times New Roman" w:hAnsi="Times New Roman"/>
                <w:bCs/>
                <w:color w:val="auto"/>
                <w:szCs w:val="21"/>
                <w:highlight w:val="none"/>
              </w:rPr>
            </w:pPr>
            <w:r>
              <w:rPr>
                <w:rFonts w:ascii="Times New Roman" w:hAnsi="Times New Roman"/>
                <w:bCs/>
                <w:color w:val="auto"/>
                <w:szCs w:val="21"/>
                <w:highlight w:val="none"/>
              </w:rPr>
              <w:t>投标人应当按照招标文件的要求编制投标文件。对招标文件内容条款有异议的应在投标截止时间10天前向招标代理机构提出，否则视同认可招标文件的内容和条款。</w:t>
            </w:r>
          </w:p>
        </w:tc>
      </w:tr>
    </w:tbl>
    <w:p>
      <w:pPr>
        <w:jc w:val="center"/>
        <w:rPr>
          <w:rFonts w:ascii="Times New Roman" w:hAnsi="Times New Roman"/>
          <w:b/>
          <w:color w:val="auto"/>
          <w:kern w:val="0"/>
          <w:sz w:val="36"/>
          <w:szCs w:val="36"/>
          <w:highlight w:val="none"/>
        </w:rPr>
      </w:pPr>
      <w:r>
        <w:rPr>
          <w:rFonts w:ascii="Times New Roman" w:hAnsi="Times New Roman"/>
          <w:color w:val="auto"/>
          <w:kern w:val="0"/>
          <w:highlight w:val="none"/>
        </w:rPr>
        <w:br w:type="page"/>
      </w:r>
      <w:r>
        <w:rPr>
          <w:rFonts w:ascii="Times New Roman" w:hAnsi="Times New Roman"/>
          <w:b/>
          <w:color w:val="auto"/>
          <w:kern w:val="0"/>
          <w:sz w:val="36"/>
          <w:szCs w:val="36"/>
          <w:highlight w:val="none"/>
        </w:rPr>
        <w:t>二、投标须知</w:t>
      </w:r>
    </w:p>
    <w:p>
      <w:pPr>
        <w:pStyle w:val="7"/>
        <w:spacing w:before="100" w:line="440" w:lineRule="exact"/>
        <w:ind w:firstLine="0" w:firstLineChars="0"/>
        <w:jc w:val="center"/>
        <w:rPr>
          <w:rFonts w:ascii="Times New Roman" w:hAnsi="Times New Roman" w:eastAsia="宋体"/>
          <w:color w:val="auto"/>
          <w:sz w:val="30"/>
          <w:szCs w:val="30"/>
          <w:highlight w:val="none"/>
        </w:rPr>
      </w:pPr>
      <w:bookmarkStart w:id="4" w:name="_Toc509841363"/>
      <w:bookmarkStart w:id="5" w:name="_Toc5936"/>
      <w:bookmarkStart w:id="6" w:name="_Toc18941"/>
      <w:r>
        <w:rPr>
          <w:rFonts w:ascii="Times New Roman" w:hAnsi="Times New Roman" w:eastAsia="宋体"/>
          <w:color w:val="auto"/>
          <w:sz w:val="30"/>
          <w:szCs w:val="30"/>
          <w:highlight w:val="none"/>
        </w:rPr>
        <w:t>（一） 总则</w:t>
      </w:r>
      <w:bookmarkEnd w:id="4"/>
      <w:bookmarkEnd w:id="5"/>
      <w:bookmarkEnd w:id="6"/>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24"/>
          <w:highlight w:val="none"/>
        </w:rPr>
      </w:pPr>
      <w:bookmarkStart w:id="7" w:name="_Toc509841364"/>
      <w:bookmarkStart w:id="8" w:name="_Toc405313141"/>
      <w:bookmarkStart w:id="9" w:name="_Toc7949"/>
      <w:r>
        <w:rPr>
          <w:rFonts w:ascii="Times New Roman" w:hAnsi="Times New Roman" w:eastAsia="宋体"/>
          <w:bCs w:val="0"/>
          <w:color w:val="auto"/>
          <w:spacing w:val="0"/>
          <w:kern w:val="0"/>
          <w:sz w:val="24"/>
          <w:szCs w:val="24"/>
          <w:highlight w:val="none"/>
        </w:rPr>
        <w:t>1、工程说明</w:t>
      </w:r>
      <w:bookmarkEnd w:id="7"/>
      <w:bookmarkEnd w:id="8"/>
      <w:bookmarkEnd w:id="9"/>
    </w:p>
    <w:p>
      <w:pPr>
        <w:spacing w:before="50" w:line="430" w:lineRule="exact"/>
        <w:ind w:firstLine="499"/>
        <w:rPr>
          <w:rFonts w:ascii="Times New Roman" w:hAnsi="Times New Roman"/>
          <w:color w:val="auto"/>
          <w:szCs w:val="21"/>
          <w:highlight w:val="none"/>
        </w:rPr>
      </w:pPr>
      <w:r>
        <w:rPr>
          <w:rFonts w:ascii="Times New Roman" w:hAnsi="Times New Roman"/>
          <w:color w:val="auto"/>
          <w:szCs w:val="21"/>
          <w:highlight w:val="none"/>
        </w:rPr>
        <w:t>1.1 本招标项目说明详见本须知前附表第1项～第5项。</w:t>
      </w:r>
    </w:p>
    <w:p>
      <w:pPr>
        <w:spacing w:before="50" w:line="430" w:lineRule="exact"/>
        <w:ind w:firstLine="499"/>
        <w:rPr>
          <w:rFonts w:ascii="Times New Roman" w:hAnsi="Times New Roman"/>
          <w:color w:val="auto"/>
          <w:szCs w:val="21"/>
          <w:highlight w:val="none"/>
        </w:rPr>
      </w:pPr>
      <w:r>
        <w:rPr>
          <w:rFonts w:ascii="Times New Roman" w:hAnsi="Times New Roman"/>
          <w:color w:val="auto"/>
          <w:szCs w:val="21"/>
          <w:highlight w:val="none"/>
        </w:rPr>
        <w:t>1.2本招标项目经</w:t>
      </w:r>
      <w:r>
        <w:rPr>
          <w:rFonts w:ascii="Times New Roman" w:hAnsi="Times New Roman"/>
          <w:color w:val="auto"/>
          <w:highlight w:val="none"/>
        </w:rPr>
        <w:t>株洲市发展和改革委员会以株发改</w:t>
      </w:r>
      <w:r>
        <w:rPr>
          <w:rFonts w:hint="eastAsia" w:ascii="Times New Roman" w:hAnsi="Times New Roman"/>
          <w:color w:val="auto"/>
          <w:highlight w:val="none"/>
          <w:lang w:eastAsia="zh-CN"/>
        </w:rPr>
        <w:t>审</w:t>
      </w:r>
      <w:r>
        <w:rPr>
          <w:rFonts w:ascii="Times New Roman" w:hAnsi="Times New Roman"/>
          <w:color w:val="auto"/>
          <w:highlight w:val="none"/>
        </w:rPr>
        <w:t>[201</w:t>
      </w:r>
      <w:r>
        <w:rPr>
          <w:rFonts w:hint="eastAsia" w:ascii="Times New Roman" w:hAnsi="Times New Roman"/>
          <w:color w:val="auto"/>
          <w:highlight w:val="none"/>
          <w:lang w:val="en-US" w:eastAsia="zh-CN"/>
        </w:rPr>
        <w:t>7</w:t>
      </w:r>
      <w:r>
        <w:rPr>
          <w:rFonts w:ascii="Times New Roman" w:hAnsi="Times New Roman"/>
          <w:color w:val="auto"/>
          <w:highlight w:val="none"/>
        </w:rPr>
        <w:t>]</w:t>
      </w:r>
      <w:r>
        <w:rPr>
          <w:rFonts w:hint="eastAsia" w:ascii="Times New Roman" w:hAnsi="Times New Roman"/>
          <w:color w:val="auto"/>
          <w:highlight w:val="none"/>
          <w:lang w:val="en-US" w:eastAsia="zh-CN"/>
        </w:rPr>
        <w:t>126</w:t>
      </w:r>
      <w:r>
        <w:rPr>
          <w:rFonts w:ascii="Times New Roman" w:hAnsi="Times New Roman"/>
          <w:color w:val="auto"/>
          <w:highlight w:val="none"/>
        </w:rPr>
        <w:t>号</w:t>
      </w:r>
      <w:r>
        <w:rPr>
          <w:rFonts w:ascii="Times New Roman" w:hAnsi="Times New Roman"/>
          <w:color w:val="auto"/>
          <w:szCs w:val="21"/>
          <w:highlight w:val="none"/>
        </w:rPr>
        <w:t>批准建设，按照《中华人民共和国招标投标法》、《中华人民共和国招标投标法实施条例》、《湖南省实施&lt;中华人民共和国招标投标法&gt;办法》等有关法律、法规和规章，在株洲市住房和城乡建设局的监督下,现通过公开招标方式选定工程监理单位。</w:t>
      </w:r>
    </w:p>
    <w:p>
      <w:pPr>
        <w:spacing w:before="50" w:line="430" w:lineRule="exact"/>
        <w:ind w:firstLine="499"/>
        <w:rPr>
          <w:rFonts w:ascii="Times New Roman" w:hAnsi="Times New Roman"/>
          <w:color w:val="auto"/>
          <w:szCs w:val="21"/>
          <w:highlight w:val="none"/>
        </w:rPr>
      </w:pPr>
      <w:r>
        <w:rPr>
          <w:rFonts w:ascii="Times New Roman" w:hAnsi="Times New Roman"/>
          <w:color w:val="auto"/>
          <w:szCs w:val="21"/>
          <w:highlight w:val="none"/>
        </w:rPr>
        <w:t>1.3本招标项目资金来源详见投标须知前附表第6项。</w:t>
      </w:r>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24"/>
          <w:highlight w:val="none"/>
        </w:rPr>
      </w:pPr>
      <w:bookmarkStart w:id="10" w:name="_Toc509841365"/>
      <w:bookmarkStart w:id="11" w:name="_Toc405313142"/>
      <w:bookmarkStart w:id="12" w:name="_Toc28467"/>
      <w:r>
        <w:rPr>
          <w:rFonts w:ascii="Times New Roman" w:hAnsi="Times New Roman" w:eastAsia="宋体"/>
          <w:bCs w:val="0"/>
          <w:color w:val="auto"/>
          <w:spacing w:val="0"/>
          <w:kern w:val="0"/>
          <w:sz w:val="24"/>
          <w:szCs w:val="24"/>
          <w:highlight w:val="none"/>
        </w:rPr>
        <w:t>2、监理工作范围、监理服务内容及监理职责</w:t>
      </w:r>
      <w:bookmarkEnd w:id="10"/>
      <w:bookmarkEnd w:id="11"/>
      <w:bookmarkEnd w:id="12"/>
    </w:p>
    <w:p>
      <w:pPr>
        <w:spacing w:before="50" w:line="43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2.1本招标项目的监理工作范围详见本须知前附表第7项</w:t>
      </w:r>
      <w:r>
        <w:rPr>
          <w:rFonts w:hint="eastAsia" w:ascii="Times New Roman" w:hAnsi="Times New Roman"/>
          <w:color w:val="auto"/>
          <w:szCs w:val="21"/>
          <w:highlight w:val="none"/>
        </w:rPr>
        <w:t>。</w:t>
      </w:r>
    </w:p>
    <w:p>
      <w:pPr>
        <w:spacing w:before="50" w:line="43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2.2监理服务内容：</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编制监理规划；</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熟悉合同文件,了解施工现场；</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参与交桩工作,审查承包人提交的复测成果，组织图纸会审；</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督促和检查承包人建立健全质量保证体系；</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参加工地进度调度会议和主持有关质量问题协调会议；</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批准单项工程开工报告；</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审核承包人授权的常驻现场代表的资质，以及其它派驻到现场的主要技术、管理人员的资质；初审分包合同和分包人的资质；</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验收承包人的工地试验室，审核其人员资质；</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建立监理的试验、检验工作体系，按照规定的频率独立开展监理的试验、检测工作；</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保存所有的原始资料和应妥善保管的一切文件；</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审批承包人拟用于本工程的原始材料、成套设备的品质以及工艺检验和标准检验；</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审查承包人拟用于本工程的机械装备的性能与数据；</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审批承包人实施本工程的施工方案及主要方法或工艺；</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控制重要外购管材及配件质量；</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审批承包人提交的总体进度计划，检查和督促承包人实施进度计划，核批承包人的修正计划；审批承包人提交的季计划、月计划、旬计划、日计划，并督促承包人实施；</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要求承包人按照合同条件、技术规范和监理程序进行施工，通过旁站、巡视、检测、试验和整体验收等手段全面监督、检查和控制工程质量；</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签发中间交工证书；</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调查、处理工程质量缺陷和事故，出现重大质量事故时，督促承包人按规定上报有关部门；</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发布停（复）工令；</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对已完工工程进行准确的计量；</w:t>
      </w:r>
    </w:p>
    <w:p>
      <w:pPr>
        <w:numPr>
          <w:ilvl w:val="0"/>
          <w:numId w:val="4"/>
        </w:numPr>
        <w:tabs>
          <w:tab w:val="left" w:pos="7097"/>
        </w:tabs>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初审中期支付凭证；</w:t>
      </w:r>
      <w:r>
        <w:rPr>
          <w:rFonts w:ascii="Times New Roman" w:hAnsi="Times New Roman"/>
          <w:color w:val="auto"/>
          <w:szCs w:val="21"/>
          <w:highlight w:val="none"/>
        </w:rPr>
        <w:tab/>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初审变更令；</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受理合同事宜，根据合同规定进行评估并拿出处理意见报业主审核；</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根据合同规定处理违约事件，协调争端，在仲裁过程中作证；</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编制监理工作月报、季报和年报；</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对承包人的交工申请进行评估，组织对拟交工工程的检查和验收；</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签发交工证书；</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督促、检查承包人按工程管理部门和业主的要求编制竣工文件；</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编制监理方面的竣工文件；</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监督承包人认真执行缺陷责任期的工作计划；检查和验收剩余工程，对已交工工程中出现的缺陷、病害，调查其原因并确定相应责任；</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签发工程缺陷责任终止书；</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初审最终支付证书；</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配合业主的竣工验收和工程移交工作；</w:t>
      </w:r>
    </w:p>
    <w:p>
      <w:pPr>
        <w:numPr>
          <w:ilvl w:val="0"/>
          <w:numId w:val="4"/>
        </w:numPr>
        <w:spacing w:before="50" w:line="430" w:lineRule="exact"/>
        <w:ind w:left="902"/>
        <w:rPr>
          <w:rFonts w:ascii="Times New Roman" w:hAnsi="Times New Roman"/>
          <w:color w:val="auto"/>
          <w:szCs w:val="21"/>
          <w:highlight w:val="none"/>
        </w:rPr>
      </w:pPr>
      <w:r>
        <w:rPr>
          <w:rFonts w:ascii="Times New Roman" w:hAnsi="Times New Roman"/>
          <w:color w:val="auto"/>
          <w:szCs w:val="21"/>
          <w:highlight w:val="none"/>
        </w:rPr>
        <w:t>在业主与承包商（或第三方）来往中，为业主维护自己的合法权益提出建议、意见；</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审核签署承包人递交的进度款支付证书，并提交业主审核；</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参与业主与承包商关于变更单价、索赔、有关争议、工程变更和对工程进度及质量等极为关键的其他问题进行的谈判；</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帮助业主解决合同文件中出现的矛盾，包括设计图纸和规范中的实质性修改建议提出书面评价意见；</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如果业主与第三方发生任何与本工程有关的仲裁或诉讼事件，如业主要求，监理单位应在仲裁委员会或法庭上作为证人，公正地提供有关证据；</w:t>
      </w:r>
    </w:p>
    <w:p>
      <w:pPr>
        <w:numPr>
          <w:ilvl w:val="0"/>
          <w:numId w:val="4"/>
        </w:numPr>
        <w:spacing w:before="50" w:line="430" w:lineRule="exact"/>
        <w:rPr>
          <w:rFonts w:ascii="Times New Roman" w:hAnsi="Times New Roman"/>
          <w:color w:val="auto"/>
          <w:szCs w:val="21"/>
          <w:highlight w:val="none"/>
        </w:rPr>
      </w:pPr>
      <w:r>
        <w:rPr>
          <w:rFonts w:ascii="Times New Roman" w:hAnsi="Times New Roman"/>
          <w:color w:val="auto"/>
          <w:szCs w:val="21"/>
          <w:highlight w:val="none"/>
        </w:rPr>
        <w:t>协助业主以确保工程施工符合本项目环保工作计划；</w:t>
      </w:r>
    </w:p>
    <w:p>
      <w:pPr>
        <w:numPr>
          <w:ilvl w:val="0"/>
          <w:numId w:val="4"/>
        </w:numPr>
        <w:spacing w:before="50" w:line="500" w:lineRule="exact"/>
        <w:rPr>
          <w:rFonts w:ascii="Times New Roman" w:hAnsi="Times New Roman"/>
          <w:color w:val="auto"/>
          <w:szCs w:val="21"/>
          <w:highlight w:val="none"/>
        </w:rPr>
      </w:pPr>
      <w:r>
        <w:rPr>
          <w:rFonts w:ascii="Times New Roman" w:hAnsi="Times New Roman"/>
          <w:color w:val="auto"/>
          <w:szCs w:val="21"/>
          <w:highlight w:val="none"/>
        </w:rPr>
        <w:t>建立监理人员岗位责任制和监理项目负责人（总监）工程质量终身（在设计使用年限内）负责制；</w:t>
      </w:r>
    </w:p>
    <w:p>
      <w:pPr>
        <w:numPr>
          <w:ilvl w:val="0"/>
          <w:numId w:val="4"/>
        </w:numPr>
        <w:spacing w:before="50" w:line="500" w:lineRule="exact"/>
        <w:rPr>
          <w:rFonts w:ascii="Times New Roman" w:hAnsi="Times New Roman"/>
          <w:color w:val="auto"/>
          <w:szCs w:val="21"/>
          <w:highlight w:val="none"/>
        </w:rPr>
      </w:pPr>
      <w:r>
        <w:rPr>
          <w:rFonts w:ascii="Times New Roman" w:hAnsi="Times New Roman"/>
          <w:color w:val="auto"/>
          <w:szCs w:val="21"/>
          <w:highlight w:val="none"/>
        </w:rPr>
        <w:t>按照《建设工程监理规范》和《监理合同》约定应属于监理公司的服务内容。</w:t>
      </w:r>
    </w:p>
    <w:p>
      <w:pPr>
        <w:spacing w:before="50"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2.3监理职责：“四控二管一协调”，即质量、安全、进度、投资控制，合同管理、信息管理以及协调处理业主与承包人和其他相关单位部门的有关事宜，有关具体权限将在监理委托合同中明确。</w:t>
      </w:r>
    </w:p>
    <w:p>
      <w:pPr>
        <w:pStyle w:val="5"/>
        <w:keepLines w:val="0"/>
        <w:pageBreakBefore w:val="0"/>
        <w:widowControl/>
        <w:autoSpaceDE/>
        <w:autoSpaceDN/>
        <w:adjustRightInd/>
        <w:spacing w:before="156" w:beforeLines="50" w:after="0" w:line="500" w:lineRule="exact"/>
        <w:jc w:val="both"/>
        <w:rPr>
          <w:rFonts w:ascii="Times New Roman" w:hAnsi="Times New Roman" w:eastAsia="宋体"/>
          <w:bCs w:val="0"/>
          <w:color w:val="auto"/>
          <w:spacing w:val="0"/>
          <w:kern w:val="0"/>
          <w:sz w:val="24"/>
          <w:szCs w:val="24"/>
          <w:highlight w:val="none"/>
        </w:rPr>
      </w:pPr>
      <w:bookmarkStart w:id="13" w:name="_Toc509841366"/>
      <w:bookmarkStart w:id="14" w:name="_Toc405313143"/>
      <w:bookmarkStart w:id="15" w:name="_Toc16816"/>
      <w:r>
        <w:rPr>
          <w:rFonts w:ascii="Times New Roman" w:hAnsi="Times New Roman" w:eastAsia="宋体"/>
          <w:bCs w:val="0"/>
          <w:color w:val="auto"/>
          <w:spacing w:val="0"/>
          <w:kern w:val="0"/>
          <w:sz w:val="24"/>
          <w:szCs w:val="24"/>
          <w:highlight w:val="none"/>
        </w:rPr>
        <w:t>3、监理工作目标</w:t>
      </w:r>
      <w:bookmarkEnd w:id="13"/>
      <w:bookmarkEnd w:id="14"/>
      <w:bookmarkEnd w:id="15"/>
    </w:p>
    <w:p>
      <w:pPr>
        <w:spacing w:before="50" w:line="5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3.1质量控制目标：详见本投标须知前附表第8项。</w:t>
      </w:r>
    </w:p>
    <w:p>
      <w:pPr>
        <w:spacing w:before="50" w:line="5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3.2工期控制目标：详见本投标须知前附表第9项。</w:t>
      </w:r>
    </w:p>
    <w:p>
      <w:pPr>
        <w:spacing w:before="50" w:line="5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3.3投资控制目标：控制在本招标项目施工合同约定的范围内，直至本招标工程项目全部完工。</w:t>
      </w:r>
    </w:p>
    <w:p>
      <w:pPr>
        <w:spacing w:before="50" w:line="5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3.4文明施工目标：创文明施工工地。</w:t>
      </w:r>
    </w:p>
    <w:p>
      <w:pPr>
        <w:spacing w:before="50" w:line="5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3.5安全控制目标：杜绝人身死亡事故和3人及以上重伤事故，轻伤事故率不大于6%；杜绝重大机械设备事故、火灾事故、垮塌事故和其他恶性事故；杜绝负主要责任的重大交通事故。</w:t>
      </w:r>
    </w:p>
    <w:p>
      <w:pPr>
        <w:pStyle w:val="5"/>
        <w:keepLines w:val="0"/>
        <w:pageBreakBefore w:val="0"/>
        <w:widowControl/>
        <w:autoSpaceDE/>
        <w:autoSpaceDN/>
        <w:adjustRightInd/>
        <w:spacing w:before="156" w:beforeLines="50" w:after="0" w:line="500" w:lineRule="exact"/>
        <w:jc w:val="both"/>
        <w:rPr>
          <w:rFonts w:ascii="Times New Roman" w:hAnsi="Times New Roman" w:eastAsia="宋体"/>
          <w:bCs w:val="0"/>
          <w:color w:val="auto"/>
          <w:spacing w:val="0"/>
          <w:kern w:val="0"/>
          <w:sz w:val="28"/>
          <w:szCs w:val="20"/>
          <w:highlight w:val="none"/>
        </w:rPr>
      </w:pPr>
      <w:bookmarkStart w:id="16" w:name="_Toc509841367"/>
      <w:bookmarkStart w:id="17" w:name="_Toc22105"/>
      <w:bookmarkStart w:id="18" w:name="_Toc405313144"/>
      <w:r>
        <w:rPr>
          <w:rFonts w:ascii="Times New Roman" w:hAnsi="Times New Roman" w:eastAsia="宋体"/>
          <w:bCs w:val="0"/>
          <w:color w:val="auto"/>
          <w:spacing w:val="0"/>
          <w:kern w:val="0"/>
          <w:sz w:val="24"/>
          <w:szCs w:val="24"/>
          <w:highlight w:val="none"/>
        </w:rPr>
        <w:t>4、监理服务期限</w:t>
      </w:r>
      <w:bookmarkEnd w:id="16"/>
      <w:bookmarkEnd w:id="17"/>
      <w:bookmarkEnd w:id="18"/>
    </w:p>
    <w:p>
      <w:pPr>
        <w:pStyle w:val="5"/>
        <w:keepLines w:val="0"/>
        <w:pageBreakBefore w:val="0"/>
        <w:widowControl/>
        <w:autoSpaceDE/>
        <w:autoSpaceDN/>
        <w:adjustRightInd/>
        <w:spacing w:before="156" w:beforeLines="50" w:after="0" w:line="500" w:lineRule="exact"/>
        <w:ind w:firstLine="440" w:firstLineChars="200"/>
        <w:jc w:val="both"/>
        <w:rPr>
          <w:rFonts w:ascii="Times New Roman" w:hAnsi="Times New Roman" w:eastAsia="宋体"/>
          <w:bCs w:val="0"/>
          <w:color w:val="auto"/>
          <w:spacing w:val="0"/>
          <w:kern w:val="2"/>
          <w:sz w:val="22"/>
          <w:szCs w:val="22"/>
          <w:highlight w:val="none"/>
        </w:rPr>
      </w:pPr>
      <w:bookmarkStart w:id="19" w:name="_Toc405313145"/>
      <w:bookmarkStart w:id="20" w:name="_Toc509841368"/>
      <w:bookmarkStart w:id="21" w:name="_Toc13618"/>
      <w:r>
        <w:rPr>
          <w:rFonts w:ascii="Times New Roman" w:hAnsi="Times New Roman" w:eastAsia="宋体"/>
          <w:bCs w:val="0"/>
          <w:color w:val="auto"/>
          <w:spacing w:val="0"/>
          <w:kern w:val="2"/>
          <w:sz w:val="22"/>
          <w:szCs w:val="22"/>
          <w:highlight w:val="none"/>
        </w:rPr>
        <w:t>以本招标工程项目的施工准备阶段、施工合同工期、交工验收工期另加缺陷责任期24个月</w:t>
      </w:r>
      <w:r>
        <w:rPr>
          <w:rFonts w:hint="eastAsia" w:ascii="Times New Roman" w:hAnsi="Times New Roman" w:eastAsia="宋体"/>
          <w:bCs w:val="0"/>
          <w:color w:val="auto"/>
          <w:spacing w:val="0"/>
          <w:kern w:val="2"/>
          <w:sz w:val="22"/>
          <w:szCs w:val="22"/>
          <w:highlight w:val="none"/>
        </w:rPr>
        <w:t>。</w:t>
      </w:r>
    </w:p>
    <w:p>
      <w:pPr>
        <w:pStyle w:val="5"/>
        <w:keepLines w:val="0"/>
        <w:pageBreakBefore w:val="0"/>
        <w:widowControl/>
        <w:autoSpaceDE/>
        <w:autoSpaceDN/>
        <w:adjustRightInd/>
        <w:spacing w:before="156" w:beforeLines="50" w:after="0" w:line="500" w:lineRule="exact"/>
        <w:jc w:val="both"/>
        <w:rPr>
          <w:rFonts w:ascii="Times New Roman" w:hAnsi="Times New Roman" w:eastAsia="宋体"/>
          <w:bCs w:val="0"/>
          <w:color w:val="auto"/>
          <w:spacing w:val="0"/>
          <w:kern w:val="0"/>
          <w:sz w:val="24"/>
          <w:szCs w:val="24"/>
          <w:highlight w:val="none"/>
        </w:rPr>
      </w:pPr>
      <w:r>
        <w:rPr>
          <w:rFonts w:ascii="Times New Roman" w:hAnsi="Times New Roman" w:eastAsia="宋体"/>
          <w:bCs w:val="0"/>
          <w:color w:val="auto"/>
          <w:spacing w:val="0"/>
          <w:kern w:val="0"/>
          <w:sz w:val="24"/>
          <w:szCs w:val="24"/>
          <w:highlight w:val="none"/>
        </w:rPr>
        <w:t>5、投标人资格要求</w:t>
      </w:r>
      <w:bookmarkEnd w:id="19"/>
      <w:bookmarkEnd w:id="20"/>
      <w:bookmarkEnd w:id="21"/>
    </w:p>
    <w:p>
      <w:pPr>
        <w:spacing w:before="50" w:line="5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5.1投标人的资格要求详见本须知前附表第10项。</w:t>
      </w:r>
    </w:p>
    <w:p>
      <w:pPr>
        <w:spacing w:before="50" w:line="5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5.2本招标项目采用本须知前附表第11项所述的资格审查方式确定合格投标人。</w:t>
      </w:r>
    </w:p>
    <w:p>
      <w:pPr>
        <w:pStyle w:val="5"/>
        <w:keepLines w:val="0"/>
        <w:pageBreakBefore w:val="0"/>
        <w:widowControl/>
        <w:autoSpaceDE/>
        <w:autoSpaceDN/>
        <w:adjustRightInd/>
        <w:spacing w:before="156" w:beforeLines="50" w:after="0" w:line="500" w:lineRule="exact"/>
        <w:jc w:val="both"/>
        <w:rPr>
          <w:rFonts w:ascii="Times New Roman" w:hAnsi="Times New Roman" w:eastAsia="宋体"/>
          <w:bCs w:val="0"/>
          <w:color w:val="auto"/>
          <w:spacing w:val="0"/>
          <w:kern w:val="0"/>
          <w:sz w:val="24"/>
          <w:szCs w:val="24"/>
          <w:highlight w:val="none"/>
        </w:rPr>
      </w:pPr>
      <w:bookmarkStart w:id="22" w:name="_Toc405313146"/>
      <w:bookmarkStart w:id="23" w:name="_Toc509841369"/>
      <w:bookmarkStart w:id="24" w:name="_Toc16026"/>
      <w:r>
        <w:rPr>
          <w:rFonts w:ascii="Times New Roman" w:hAnsi="Times New Roman" w:eastAsia="宋体"/>
          <w:bCs w:val="0"/>
          <w:color w:val="auto"/>
          <w:spacing w:val="0"/>
          <w:kern w:val="0"/>
          <w:sz w:val="24"/>
          <w:szCs w:val="24"/>
          <w:highlight w:val="none"/>
        </w:rPr>
        <w:t>6、对现场监理部关键岗位人员的配备要求</w:t>
      </w:r>
      <w:bookmarkEnd w:id="22"/>
      <w:bookmarkEnd w:id="23"/>
      <w:bookmarkEnd w:id="24"/>
    </w:p>
    <w:p>
      <w:pPr>
        <w:widowControl/>
        <w:spacing w:before="100" w:line="500" w:lineRule="exact"/>
        <w:ind w:firstLine="440" w:firstLineChars="200"/>
        <w:rPr>
          <w:rFonts w:hint="eastAsia" w:ascii="Times New Roman" w:hAnsi="Times New Roman" w:eastAsia="宋体"/>
          <w:color w:val="auto"/>
          <w:sz w:val="22"/>
          <w:szCs w:val="22"/>
          <w:highlight w:val="none"/>
          <w:lang w:eastAsia="zh-CN"/>
        </w:rPr>
      </w:pPr>
      <w:r>
        <w:rPr>
          <w:rFonts w:ascii="Times New Roman" w:hAnsi="Times New Roman"/>
          <w:color w:val="auto"/>
          <w:sz w:val="22"/>
          <w:szCs w:val="22"/>
          <w:highlight w:val="none"/>
        </w:rPr>
        <w:t>6.1现场监理部关键岗位人员是指总监理工程师、专业监理工程师、监理员。</w:t>
      </w:r>
      <w:r>
        <w:rPr>
          <w:rFonts w:ascii="Times New Roman" w:hAnsi="Times New Roman"/>
          <w:color w:val="auto"/>
          <w:sz w:val="22"/>
          <w:szCs w:val="22"/>
          <w:highlight w:val="none"/>
        </w:rPr>
        <w:br w:type="textWrapping"/>
      </w:r>
      <w:r>
        <w:rPr>
          <w:rFonts w:ascii="Times New Roman" w:hAnsi="Times New Roman"/>
          <w:color w:val="auto"/>
          <w:sz w:val="22"/>
          <w:szCs w:val="22"/>
          <w:highlight w:val="none"/>
        </w:rPr>
        <w:t xml:space="preserve">    6.2湘建建[2015]57号文中总监指项目总监理工程师，专监仅包括项目主导专业监理工程师，不包括非主导专业监理工程师。</w:t>
      </w:r>
      <w:r>
        <w:rPr>
          <w:rFonts w:ascii="Times New Roman" w:hAnsi="Times New Roman"/>
          <w:color w:val="auto"/>
          <w:sz w:val="22"/>
          <w:szCs w:val="22"/>
          <w:highlight w:val="none"/>
        </w:rPr>
        <w:br w:type="textWrapping"/>
      </w:r>
      <w:r>
        <w:rPr>
          <w:rFonts w:ascii="Times New Roman" w:hAnsi="Times New Roman"/>
          <w:color w:val="auto"/>
          <w:sz w:val="22"/>
          <w:szCs w:val="22"/>
          <w:highlight w:val="none"/>
        </w:rPr>
        <w:t xml:space="preserve">    6.3省内企业关键岗位人员在建工程情况和省外企业关键岗位人员在湖南省内在建工程情况以湖南省建筑工程监管信息平台查询为准。</w:t>
      </w:r>
      <w:r>
        <w:rPr>
          <w:rFonts w:ascii="Times New Roman" w:hAnsi="Times New Roman"/>
          <w:color w:val="auto"/>
          <w:sz w:val="22"/>
          <w:szCs w:val="22"/>
          <w:highlight w:val="none"/>
        </w:rPr>
        <w:br w:type="textWrapping"/>
      </w:r>
      <w:r>
        <w:rPr>
          <w:rFonts w:ascii="Times New Roman" w:hAnsi="Times New Roman"/>
          <w:color w:val="auto"/>
          <w:sz w:val="22"/>
          <w:szCs w:val="22"/>
          <w:highlight w:val="none"/>
        </w:rPr>
        <w:t xml:space="preserve">    6.4投标人应按照国家和省有关法律法规、规范标准以及湘建建[2015]57号文《湖南省建设工程施工项目部和现场监理部关键岗位人员配备管理办法》规定配备现场监理部关键岗位人员。</w:t>
      </w:r>
      <w:r>
        <w:rPr>
          <w:rFonts w:ascii="Times New Roman" w:hAnsi="Times New Roman"/>
          <w:b/>
          <w:color w:val="auto"/>
          <w:sz w:val="22"/>
          <w:szCs w:val="22"/>
          <w:highlight w:val="none"/>
        </w:rPr>
        <w:t>本招标项目现场监理部关键岗位人员数量不得低于湘建建[2015]57号文规定的最低配备标准，即至少总监理工程师1人、专业监理工程师22人、监理员22人。</w:t>
      </w:r>
      <w:r>
        <w:rPr>
          <w:rFonts w:ascii="Times New Roman" w:hAnsi="Times New Roman"/>
          <w:color w:val="auto"/>
          <w:sz w:val="22"/>
          <w:szCs w:val="22"/>
          <w:highlight w:val="none"/>
        </w:rPr>
        <w:br w:type="textWrapping"/>
      </w:r>
      <w:r>
        <w:rPr>
          <w:rFonts w:ascii="Times New Roman" w:hAnsi="Times New Roman"/>
          <w:b/>
          <w:bCs/>
          <w:color w:val="auto"/>
          <w:sz w:val="22"/>
          <w:szCs w:val="22"/>
          <w:highlight w:val="none"/>
        </w:rPr>
        <w:t xml:space="preserve">    6.5本项目总监理工程师、专业监理工程师、监理员均需</w:t>
      </w:r>
      <w:r>
        <w:rPr>
          <w:rFonts w:ascii="Times New Roman" w:hAnsi="Times New Roman"/>
          <w:b/>
          <w:bCs/>
          <w:color w:val="auto"/>
          <w:szCs w:val="21"/>
          <w:highlight w:val="none"/>
        </w:rPr>
        <w:t>无在监项目</w:t>
      </w:r>
      <w:r>
        <w:rPr>
          <w:rFonts w:ascii="Times New Roman" w:hAnsi="Times New Roman"/>
          <w:b/>
          <w:bCs/>
          <w:color w:val="auto"/>
          <w:sz w:val="22"/>
          <w:szCs w:val="22"/>
          <w:highlight w:val="none"/>
        </w:rPr>
        <w:t>。</w:t>
      </w:r>
      <w:r>
        <w:rPr>
          <w:rFonts w:ascii="Times New Roman" w:hAnsi="Times New Roman"/>
          <w:color w:val="auto"/>
          <w:sz w:val="22"/>
          <w:szCs w:val="22"/>
          <w:highlight w:val="none"/>
        </w:rPr>
        <w:br w:type="textWrapping"/>
      </w:r>
      <w:r>
        <w:rPr>
          <w:rFonts w:ascii="Times New Roman" w:hAnsi="Times New Roman"/>
          <w:color w:val="auto"/>
          <w:sz w:val="22"/>
          <w:szCs w:val="22"/>
          <w:highlight w:val="none"/>
        </w:rPr>
        <w:t xml:space="preserve">    6.6投标人应确保拟派驻的现场监理部关键岗位人员均为本单位人员。评标时需提供拟任总监理工程师的社保证明（提供由劳动保障部门出具的近一年内连续六个月的投标人为其缴纳社会养老保险的证明材料原件）。</w:t>
      </w:r>
      <w:r>
        <w:rPr>
          <w:rFonts w:ascii="Times New Roman" w:hAnsi="Times New Roman"/>
          <w:color w:val="auto"/>
          <w:sz w:val="22"/>
          <w:szCs w:val="22"/>
          <w:highlight w:val="none"/>
        </w:rPr>
        <w:br w:type="textWrapping"/>
      </w:r>
      <w:r>
        <w:rPr>
          <w:rFonts w:ascii="Times New Roman" w:hAnsi="Times New Roman"/>
          <w:color w:val="auto"/>
          <w:sz w:val="22"/>
          <w:szCs w:val="22"/>
          <w:highlight w:val="none"/>
        </w:rPr>
        <w:t xml:space="preserve">    6.7现场监理部关键岗位人员必须持有相应的岗位资格证书原件，岗位资格证书注明了单位名称的，应与投标人名称一致。其中</w:t>
      </w:r>
      <w:r>
        <w:rPr>
          <w:rFonts w:hint="eastAsia" w:ascii="宋体" w:hAnsi="宋体" w:cs="宋体"/>
          <w:color w:val="auto"/>
          <w:sz w:val="22"/>
          <w:szCs w:val="22"/>
          <w:highlight w:val="none"/>
        </w:rPr>
        <w:t>①</w:t>
      </w:r>
      <w:r>
        <w:rPr>
          <w:rFonts w:ascii="Times New Roman" w:hAnsi="Times New Roman"/>
          <w:color w:val="auto"/>
          <w:sz w:val="22"/>
          <w:szCs w:val="22"/>
          <w:highlight w:val="none"/>
        </w:rPr>
        <w:t>总监理工程师具有国家注册监理工程师证书，且注册专业包含市政公用工程专业；</w:t>
      </w:r>
      <w:r>
        <w:rPr>
          <w:rFonts w:hint="eastAsia" w:ascii="宋体" w:hAnsi="宋体" w:cs="宋体"/>
          <w:color w:val="auto"/>
          <w:sz w:val="22"/>
          <w:szCs w:val="22"/>
          <w:highlight w:val="none"/>
        </w:rPr>
        <w:t>②</w:t>
      </w:r>
      <w:r>
        <w:rPr>
          <w:rFonts w:ascii="Times New Roman" w:hAnsi="Times New Roman"/>
          <w:color w:val="auto"/>
          <w:sz w:val="22"/>
          <w:szCs w:val="22"/>
          <w:highlight w:val="none"/>
        </w:rPr>
        <w:t>专业监理工程师具有国家注册监理工程师证书或湖南省监理工程师证书或湖南省专业监理工程师培训合格证书，且注册专业包含市政公用工程专业；</w:t>
      </w:r>
      <w:r>
        <w:rPr>
          <w:rFonts w:hint="eastAsia" w:ascii="宋体" w:hAnsi="宋体" w:cs="宋体"/>
          <w:color w:val="auto"/>
          <w:sz w:val="22"/>
          <w:szCs w:val="22"/>
          <w:highlight w:val="none"/>
        </w:rPr>
        <w:t>③</w:t>
      </w:r>
      <w:r>
        <w:rPr>
          <w:rFonts w:ascii="Times New Roman" w:hAnsi="Times New Roman"/>
          <w:color w:val="auto"/>
          <w:sz w:val="22"/>
          <w:szCs w:val="22"/>
          <w:highlight w:val="none"/>
        </w:rPr>
        <w:t>监理员具有国家注册监理工程师证书或湖南省总监理工程师代表培训合格证书或湖南省监理工程师证书或湖南省监理员证书</w:t>
      </w:r>
      <w:r>
        <w:rPr>
          <w:rFonts w:hint="eastAsia" w:ascii="Times New Roman" w:hAnsi="Times New Roman"/>
          <w:color w:val="auto"/>
          <w:sz w:val="22"/>
          <w:szCs w:val="22"/>
          <w:highlight w:val="none"/>
          <w:lang w:eastAsia="zh-CN"/>
        </w:rPr>
        <w:t>。</w:t>
      </w:r>
    </w:p>
    <w:p>
      <w:pPr>
        <w:widowControl/>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6.8省外监理企业由企业所在地地（市）级及以上建设行政主管部门提供现场监理部关键岗位人员无在建工程证明。</w:t>
      </w:r>
      <w:r>
        <w:rPr>
          <w:rFonts w:ascii="Times New Roman" w:hAnsi="Times New Roman"/>
          <w:color w:val="auto"/>
          <w:sz w:val="22"/>
          <w:szCs w:val="22"/>
          <w:highlight w:val="none"/>
        </w:rPr>
        <w:br w:type="textWrapping"/>
      </w:r>
      <w:r>
        <w:rPr>
          <w:rFonts w:ascii="Times New Roman" w:hAnsi="Times New Roman"/>
          <w:color w:val="auto"/>
          <w:sz w:val="22"/>
          <w:szCs w:val="22"/>
          <w:highlight w:val="none"/>
        </w:rPr>
        <w:t xml:space="preserve">    6.9除不可抗力因素外，中标单位自投标截止之日起至完成合同约定工程量之日止，不得更换和撤离总监理工程师，对擅自更换或撤离的，按骗取中标处理，其中标结果无效，并承担由此造成的损失。现场监理部关键岗位人员的更换须征得招标人书面同意。</w:t>
      </w:r>
      <w:r>
        <w:rPr>
          <w:rFonts w:ascii="Times New Roman" w:hAnsi="Times New Roman"/>
          <w:color w:val="auto"/>
          <w:sz w:val="22"/>
          <w:szCs w:val="22"/>
          <w:highlight w:val="none"/>
        </w:rPr>
        <w:br w:type="textWrapping"/>
      </w:r>
      <w:r>
        <w:rPr>
          <w:rFonts w:ascii="Times New Roman" w:hAnsi="Times New Roman"/>
          <w:color w:val="auto"/>
          <w:sz w:val="22"/>
          <w:szCs w:val="22"/>
          <w:highlight w:val="none"/>
        </w:rPr>
        <w:t xml:space="preserve">    6.10省外工程监理企业承揽本省工程监理业务组建的现场监理部，其总监理工程师应取得国家注册监理工程师证书。</w:t>
      </w:r>
      <w:r>
        <w:rPr>
          <w:rFonts w:ascii="Times New Roman" w:hAnsi="Times New Roman"/>
          <w:color w:val="auto"/>
          <w:sz w:val="22"/>
          <w:szCs w:val="22"/>
          <w:highlight w:val="none"/>
        </w:rPr>
        <w:br w:type="textWrapping"/>
      </w:r>
      <w:r>
        <w:rPr>
          <w:rFonts w:ascii="Times New Roman" w:hAnsi="Times New Roman"/>
          <w:color w:val="auto"/>
          <w:sz w:val="22"/>
          <w:szCs w:val="22"/>
          <w:highlight w:val="none"/>
        </w:rPr>
        <w:t xml:space="preserve">    6.11其他未尽事项将严格按照湘建建[2015]57号文执行。</w:t>
      </w:r>
      <w:r>
        <w:rPr>
          <w:rFonts w:ascii="Times New Roman" w:hAnsi="Times New Roman"/>
          <w:color w:val="auto"/>
          <w:sz w:val="22"/>
          <w:szCs w:val="22"/>
          <w:highlight w:val="none"/>
        </w:rPr>
        <w:br w:type="textWrapping"/>
      </w:r>
      <w:r>
        <w:rPr>
          <w:rFonts w:ascii="Times New Roman" w:hAnsi="Times New Roman"/>
          <w:color w:val="auto"/>
          <w:sz w:val="22"/>
          <w:szCs w:val="22"/>
          <w:highlight w:val="none"/>
        </w:rPr>
        <w:t xml:space="preserve">    </w:t>
      </w:r>
      <w:r>
        <w:rPr>
          <w:rFonts w:ascii="Times New Roman" w:hAnsi="Times New Roman" w:eastAsia="黑体"/>
          <w:b/>
          <w:bCs/>
          <w:color w:val="auto"/>
          <w:sz w:val="22"/>
          <w:szCs w:val="22"/>
          <w:highlight w:val="none"/>
        </w:rPr>
        <w:t>评标过程中，评标委员会将按照上述要求查验所有现场监理部关键岗位人员相应的岗位资格证书（或执业证书或培训合格证书）原件以及相关资料原件，对于未按照上述要求提供的，将被认定为不合格投标人</w:t>
      </w:r>
      <w:r>
        <w:rPr>
          <w:rFonts w:ascii="Times New Roman" w:hAnsi="Times New Roman"/>
          <w:color w:val="auto"/>
          <w:sz w:val="22"/>
          <w:szCs w:val="22"/>
          <w:highlight w:val="none"/>
        </w:rPr>
        <w:t>。</w:t>
      </w:r>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8"/>
          <w:szCs w:val="20"/>
          <w:highlight w:val="none"/>
        </w:rPr>
      </w:pPr>
      <w:bookmarkStart w:id="25" w:name="_Toc31546"/>
      <w:bookmarkStart w:id="26" w:name="_Toc509841370"/>
      <w:bookmarkStart w:id="27" w:name="_Toc405313147"/>
      <w:r>
        <w:rPr>
          <w:rFonts w:ascii="Times New Roman" w:hAnsi="Times New Roman" w:eastAsia="宋体"/>
          <w:bCs w:val="0"/>
          <w:color w:val="auto"/>
          <w:spacing w:val="0"/>
          <w:kern w:val="0"/>
          <w:sz w:val="24"/>
          <w:szCs w:val="24"/>
          <w:highlight w:val="none"/>
        </w:rPr>
        <w:t>7、踏勘现场</w:t>
      </w:r>
      <w:bookmarkEnd w:id="25"/>
      <w:bookmarkEnd w:id="26"/>
      <w:bookmarkEnd w:id="27"/>
    </w:p>
    <w:p>
      <w:pPr>
        <w:widowControl/>
        <w:adjustRightInd w:val="0"/>
        <w:snapToGrid w:val="0"/>
        <w:spacing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7.1招标人不单独组织任何一个投标人进行现场踏勘。请各投标人自行踏勘现场。</w:t>
      </w:r>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24"/>
          <w:highlight w:val="none"/>
        </w:rPr>
      </w:pPr>
      <w:bookmarkStart w:id="28" w:name="_Toc6850"/>
      <w:bookmarkStart w:id="29" w:name="_Toc405313148"/>
      <w:bookmarkStart w:id="30" w:name="_Toc509841371"/>
      <w:r>
        <w:rPr>
          <w:rFonts w:ascii="Times New Roman" w:hAnsi="Times New Roman" w:eastAsia="宋体"/>
          <w:bCs w:val="0"/>
          <w:color w:val="auto"/>
          <w:spacing w:val="0"/>
          <w:kern w:val="0"/>
          <w:sz w:val="24"/>
          <w:szCs w:val="24"/>
          <w:highlight w:val="none"/>
        </w:rPr>
        <w:t>8、业主为中标单位提供的工作条件</w:t>
      </w:r>
      <w:bookmarkEnd w:id="28"/>
      <w:bookmarkEnd w:id="29"/>
      <w:bookmarkEnd w:id="30"/>
    </w:p>
    <w:p>
      <w:pPr>
        <w:widowControl/>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8.1业主向中标单位免费提供下述文件、资料：</w:t>
      </w:r>
    </w:p>
    <w:p>
      <w:pPr>
        <w:widowControl/>
        <w:numPr>
          <w:ilvl w:val="0"/>
          <w:numId w:val="5"/>
        </w:numPr>
        <w:spacing w:before="100" w:line="430" w:lineRule="exact"/>
        <w:rPr>
          <w:rFonts w:ascii="Times New Roman" w:hAnsi="Times New Roman"/>
          <w:color w:val="auto"/>
          <w:sz w:val="22"/>
          <w:szCs w:val="22"/>
          <w:highlight w:val="none"/>
        </w:rPr>
      </w:pPr>
      <w:r>
        <w:rPr>
          <w:rFonts w:ascii="Times New Roman" w:hAnsi="Times New Roman"/>
          <w:color w:val="auto"/>
          <w:sz w:val="22"/>
          <w:szCs w:val="22"/>
          <w:highlight w:val="none"/>
        </w:rPr>
        <w:t>业主与第三方签订的合同协议文件1套；</w:t>
      </w:r>
    </w:p>
    <w:p>
      <w:pPr>
        <w:widowControl/>
        <w:numPr>
          <w:ilvl w:val="0"/>
          <w:numId w:val="5"/>
        </w:numPr>
        <w:spacing w:before="100" w:line="430" w:lineRule="exact"/>
        <w:rPr>
          <w:rFonts w:ascii="Times New Roman" w:hAnsi="Times New Roman"/>
          <w:color w:val="auto"/>
          <w:sz w:val="22"/>
          <w:szCs w:val="22"/>
          <w:highlight w:val="none"/>
        </w:rPr>
      </w:pPr>
      <w:r>
        <w:rPr>
          <w:rFonts w:ascii="Times New Roman" w:hAnsi="Times New Roman"/>
          <w:color w:val="auto"/>
          <w:sz w:val="22"/>
          <w:szCs w:val="22"/>
          <w:highlight w:val="none"/>
        </w:rPr>
        <w:t>设计施工图纸及说明1套。</w:t>
      </w:r>
    </w:p>
    <w:p>
      <w:pPr>
        <w:widowControl/>
        <w:spacing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8.2其他有关检验设备、设施、仪器、机具、办公用品、办公家具、交通工具、通讯工具、指纹打卡机（必备）等等的购置（或租赁）、使用、管理及维护等费用均由中标人自行负责，以上所有费用应含在监理单位的投标报价中。</w:t>
      </w:r>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24"/>
          <w:highlight w:val="none"/>
        </w:rPr>
      </w:pPr>
      <w:bookmarkStart w:id="31" w:name="_Toc509841372"/>
      <w:bookmarkStart w:id="32" w:name="_Toc23580"/>
      <w:bookmarkStart w:id="33" w:name="_Toc405313149"/>
      <w:r>
        <w:rPr>
          <w:rFonts w:ascii="Times New Roman" w:hAnsi="Times New Roman" w:eastAsia="宋体"/>
          <w:bCs w:val="0"/>
          <w:color w:val="auto"/>
          <w:spacing w:val="0"/>
          <w:kern w:val="0"/>
          <w:sz w:val="24"/>
          <w:szCs w:val="24"/>
          <w:highlight w:val="none"/>
        </w:rPr>
        <w:t>9、投标费用</w:t>
      </w:r>
      <w:bookmarkEnd w:id="31"/>
      <w:bookmarkEnd w:id="32"/>
      <w:bookmarkEnd w:id="33"/>
    </w:p>
    <w:p>
      <w:pPr>
        <w:widowControl/>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9.1投标人应承担其参加本次招标活动自身所发生的费用。</w:t>
      </w:r>
      <w:bookmarkStart w:id="34" w:name="_Toc21265"/>
      <w:bookmarkStart w:id="35" w:name="_Toc3140"/>
    </w:p>
    <w:p>
      <w:pPr>
        <w:pStyle w:val="7"/>
        <w:spacing w:before="100" w:line="430" w:lineRule="exact"/>
        <w:ind w:firstLine="0" w:firstLineChars="0"/>
        <w:jc w:val="center"/>
        <w:rPr>
          <w:rFonts w:ascii="Times New Roman" w:hAnsi="Times New Roman" w:eastAsia="宋体"/>
          <w:color w:val="auto"/>
          <w:sz w:val="30"/>
          <w:szCs w:val="30"/>
          <w:highlight w:val="none"/>
        </w:rPr>
      </w:pPr>
      <w:bookmarkStart w:id="36" w:name="_Toc509841373"/>
      <w:r>
        <w:rPr>
          <w:rFonts w:ascii="Times New Roman" w:hAnsi="Times New Roman" w:eastAsia="宋体"/>
          <w:color w:val="auto"/>
          <w:sz w:val="30"/>
          <w:szCs w:val="30"/>
          <w:highlight w:val="none"/>
        </w:rPr>
        <w:t>（二）  招标文件</w:t>
      </w:r>
      <w:bookmarkEnd w:id="34"/>
      <w:bookmarkEnd w:id="35"/>
      <w:bookmarkEnd w:id="36"/>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8"/>
          <w:szCs w:val="20"/>
          <w:highlight w:val="none"/>
        </w:rPr>
      </w:pPr>
      <w:bookmarkStart w:id="37" w:name="_Toc509841374"/>
      <w:bookmarkStart w:id="38" w:name="_Toc405313151"/>
      <w:bookmarkStart w:id="39" w:name="_Toc2009"/>
      <w:r>
        <w:rPr>
          <w:rFonts w:ascii="Times New Roman" w:hAnsi="Times New Roman" w:eastAsia="宋体"/>
          <w:bCs w:val="0"/>
          <w:color w:val="auto"/>
          <w:spacing w:val="0"/>
          <w:kern w:val="0"/>
          <w:sz w:val="24"/>
          <w:szCs w:val="24"/>
          <w:highlight w:val="none"/>
        </w:rPr>
        <w:t>10、招标文件的组成</w:t>
      </w:r>
      <w:bookmarkEnd w:id="37"/>
      <w:bookmarkEnd w:id="38"/>
      <w:bookmarkEnd w:id="39"/>
    </w:p>
    <w:p>
      <w:pPr>
        <w:widowControl/>
        <w:tabs>
          <w:tab w:val="left" w:pos="900"/>
          <w:tab w:val="left" w:pos="1440"/>
        </w:tabs>
        <w:spacing w:before="100" w:line="430" w:lineRule="exact"/>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10.1本工程的招标文件包括下列内容：</w:t>
      </w:r>
    </w:p>
    <w:p>
      <w:pPr>
        <w:widowControl/>
        <w:tabs>
          <w:tab w:val="left" w:pos="900"/>
          <w:tab w:val="left" w:pos="1440"/>
        </w:tabs>
        <w:spacing w:before="100" w:line="430" w:lineRule="exact"/>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第一章 招标公告</w:t>
      </w:r>
    </w:p>
    <w:p>
      <w:pPr>
        <w:widowControl/>
        <w:tabs>
          <w:tab w:val="left" w:pos="900"/>
          <w:tab w:val="left" w:pos="1440"/>
        </w:tabs>
        <w:spacing w:before="100" w:line="430" w:lineRule="exact"/>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第二章 投标须知及投标须知前附表</w:t>
      </w:r>
    </w:p>
    <w:p>
      <w:pPr>
        <w:widowControl/>
        <w:tabs>
          <w:tab w:val="left" w:pos="900"/>
          <w:tab w:val="left" w:pos="1440"/>
        </w:tabs>
        <w:spacing w:before="100" w:line="430" w:lineRule="exact"/>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第三章 合同条款</w:t>
      </w:r>
    </w:p>
    <w:p>
      <w:pPr>
        <w:widowControl/>
        <w:tabs>
          <w:tab w:val="left" w:pos="900"/>
          <w:tab w:val="left" w:pos="1440"/>
        </w:tabs>
        <w:spacing w:before="100" w:line="430" w:lineRule="exact"/>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第四章 投标文件格式</w:t>
      </w:r>
    </w:p>
    <w:p>
      <w:pPr>
        <w:widowControl/>
        <w:tabs>
          <w:tab w:val="left" w:pos="900"/>
          <w:tab w:val="left" w:pos="1440"/>
        </w:tabs>
        <w:spacing w:before="100" w:line="430" w:lineRule="exact"/>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第五章 技术规范</w:t>
      </w:r>
    </w:p>
    <w:p>
      <w:pPr>
        <w:widowControl/>
        <w:tabs>
          <w:tab w:val="left" w:pos="900"/>
          <w:tab w:val="left" w:pos="1440"/>
        </w:tabs>
        <w:spacing w:before="100" w:line="430" w:lineRule="exact"/>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第六章 设计文件</w:t>
      </w:r>
    </w:p>
    <w:p>
      <w:pPr>
        <w:widowControl/>
        <w:tabs>
          <w:tab w:val="left" w:pos="900"/>
          <w:tab w:val="left" w:pos="1440"/>
        </w:tabs>
        <w:spacing w:before="100" w:line="430" w:lineRule="exact"/>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第七章 评标办法</w:t>
      </w:r>
    </w:p>
    <w:p>
      <w:pPr>
        <w:widowControl/>
        <w:tabs>
          <w:tab w:val="left" w:pos="900"/>
          <w:tab w:val="left" w:pos="1440"/>
        </w:tabs>
        <w:spacing w:before="100" w:line="430" w:lineRule="exact"/>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第八章 废标条款</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10.2 除10.1内容外，招标代理人在招标期间发出的招标文件补充通知和其它正式有效的函件，均为招标文件的组成部分，对招标人和投标人起约束作用。</w:t>
      </w:r>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24"/>
          <w:highlight w:val="none"/>
        </w:rPr>
      </w:pPr>
      <w:bookmarkStart w:id="40" w:name="_Toc405313152"/>
      <w:bookmarkStart w:id="41" w:name="_Toc10672"/>
      <w:bookmarkStart w:id="42" w:name="_Toc509841375"/>
      <w:r>
        <w:rPr>
          <w:rFonts w:ascii="Times New Roman" w:hAnsi="Times New Roman" w:eastAsia="宋体"/>
          <w:bCs w:val="0"/>
          <w:color w:val="auto"/>
          <w:spacing w:val="0"/>
          <w:kern w:val="0"/>
          <w:sz w:val="24"/>
          <w:szCs w:val="24"/>
          <w:highlight w:val="none"/>
        </w:rPr>
        <w:t>11、招标文件的澄清与修改</w:t>
      </w:r>
      <w:bookmarkEnd w:id="40"/>
      <w:bookmarkEnd w:id="41"/>
      <w:bookmarkEnd w:id="42"/>
    </w:p>
    <w:p>
      <w:pPr>
        <w:widowControl/>
        <w:spacing w:line="43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11.1</w:t>
      </w:r>
      <w:r>
        <w:rPr>
          <w:rFonts w:ascii="Times New Roman" w:hAnsi="Times New Roman"/>
          <w:b/>
          <w:color w:val="auto"/>
          <w:sz w:val="22"/>
          <w:szCs w:val="22"/>
          <w:highlight w:val="none"/>
        </w:rPr>
        <w:t>招标人提供的有关资料和数据是招标人现有的能使投标人利用的资料。投标人对招标文件所作的任何推论、解释和结论，招标人概不负责。投标人因对招标文件的任何推论、误解以及招标人对有关问题的口头解释所造成的后果，均由投标人自负。实质上不响应招标文件要求的投标文件将被拒绝。投标人应当按照招标文件的要求编制投标文件，对招标文件内容条款有异议的应在投标须知前附表规定的时间前将书面咨疑文件送达或发电子邮件至湖南新泉工程造价咨询有限公司（电子邮箱：1277013538@qq.com）或向行政监管部门提出，否则视为认可招标文件的内容和条款，在此时间之后提出的一般性问题招标人将不予以回复。</w:t>
      </w:r>
      <w:r>
        <w:rPr>
          <w:rFonts w:ascii="Times New Roman" w:hAnsi="Times New Roman"/>
          <w:color w:val="auto"/>
          <w:sz w:val="22"/>
          <w:szCs w:val="22"/>
          <w:highlight w:val="none"/>
        </w:rPr>
        <w:t>无论是招标人根据需要主动对招标文件进行必要的澄清，或是根据投标人的要求对招标文件做出澄清，招标人都将以书面形式予以澄清，并按本须知前附表第15项规定的时间、地点将书面澄清文件向所有投标人发送，该澄清作为招标文件的组成部分，具有约束作用。</w:t>
      </w:r>
    </w:p>
    <w:p>
      <w:pPr>
        <w:widowControl/>
        <w:spacing w:line="43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11.2招标人可以对已发出的招标文件进行必要的澄清或者修改，所有澄清或修改文件均按投标人须知前附表规定的方式发布。如果澄清或修改的内容可能影响投标文件编制的，招标人将在投标截止时间至少15天前按投标人须知前附表规定的媒介予以发布，不足15天的，招标人将顺延提交投标文件的截止时间。</w:t>
      </w:r>
    </w:p>
    <w:p>
      <w:pPr>
        <w:pStyle w:val="4"/>
        <w:widowControl/>
        <w:spacing w:before="100" w:line="430" w:lineRule="exact"/>
        <w:ind w:firstLine="440" w:firstLineChars="200"/>
        <w:rPr>
          <w:rFonts w:ascii="Times New Roman" w:hAnsi="Times New Roman"/>
          <w:color w:val="auto"/>
          <w:sz w:val="22"/>
          <w:szCs w:val="22"/>
          <w:highlight w:val="none"/>
          <w:u w:val="single"/>
        </w:rPr>
      </w:pPr>
      <w:r>
        <w:rPr>
          <w:rFonts w:ascii="Times New Roman" w:hAnsi="Times New Roman"/>
          <w:color w:val="auto"/>
          <w:sz w:val="22"/>
          <w:szCs w:val="22"/>
          <w:highlight w:val="none"/>
        </w:rPr>
        <w:t>11.3招标文件的澄清、修改、补充等内容均以书面形式明确的内容为准。</w:t>
      </w:r>
      <w:r>
        <w:rPr>
          <w:rFonts w:ascii="Times New Roman" w:hAnsi="Times New Roman"/>
          <w:color w:val="auto"/>
          <w:sz w:val="22"/>
          <w:szCs w:val="22"/>
          <w:highlight w:val="none"/>
          <w:u w:val="single"/>
        </w:rPr>
        <w:t>当招标文件、招标文件的澄清、修改、补充等在同一内容的表述上不一致时，以最后发出的书面文件为准。</w:t>
      </w:r>
    </w:p>
    <w:p>
      <w:pPr>
        <w:widowControl/>
        <w:spacing w:line="430" w:lineRule="exact"/>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11.4招标补充、修改、澄清文件由招标代理人报招标投标管理机构备案后生效。</w:t>
      </w:r>
    </w:p>
    <w:p>
      <w:pPr>
        <w:pStyle w:val="7"/>
        <w:keepNext w:val="0"/>
        <w:keepLines w:val="0"/>
        <w:widowControl/>
        <w:autoSpaceDE/>
        <w:autoSpaceDN/>
        <w:adjustRightInd/>
        <w:spacing w:before="100" w:line="430" w:lineRule="exact"/>
        <w:ind w:firstLine="0" w:firstLineChars="0"/>
        <w:jc w:val="center"/>
        <w:rPr>
          <w:rFonts w:ascii="Times New Roman" w:hAnsi="Times New Roman" w:eastAsia="宋体"/>
          <w:color w:val="auto"/>
          <w:sz w:val="30"/>
          <w:szCs w:val="30"/>
          <w:highlight w:val="none"/>
        </w:rPr>
      </w:pPr>
      <w:bookmarkStart w:id="43" w:name="_Toc32041"/>
      <w:bookmarkStart w:id="44" w:name="_Toc509841376"/>
      <w:bookmarkStart w:id="45" w:name="_Toc21863"/>
      <w:r>
        <w:rPr>
          <w:rFonts w:ascii="Times New Roman" w:hAnsi="Times New Roman" w:eastAsia="宋体"/>
          <w:color w:val="auto"/>
          <w:sz w:val="30"/>
          <w:szCs w:val="30"/>
          <w:highlight w:val="none"/>
        </w:rPr>
        <w:t>（三）投标文件的编制</w:t>
      </w:r>
      <w:bookmarkEnd w:id="43"/>
      <w:bookmarkEnd w:id="44"/>
      <w:bookmarkEnd w:id="45"/>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24"/>
          <w:highlight w:val="none"/>
        </w:rPr>
      </w:pPr>
      <w:bookmarkStart w:id="46" w:name="_Toc28411"/>
      <w:bookmarkStart w:id="47" w:name="_Toc405313154"/>
      <w:bookmarkStart w:id="48" w:name="_Toc509841377"/>
      <w:r>
        <w:rPr>
          <w:rFonts w:ascii="Times New Roman" w:hAnsi="Times New Roman" w:eastAsia="宋体"/>
          <w:bCs w:val="0"/>
          <w:color w:val="auto"/>
          <w:spacing w:val="0"/>
          <w:kern w:val="0"/>
          <w:sz w:val="24"/>
          <w:szCs w:val="24"/>
          <w:highlight w:val="none"/>
        </w:rPr>
        <w:t>12、投标文件的语言及度量衡单位</w:t>
      </w:r>
      <w:bookmarkEnd w:id="46"/>
      <w:bookmarkEnd w:id="47"/>
      <w:bookmarkEnd w:id="48"/>
    </w:p>
    <w:p>
      <w:pPr>
        <w:pStyle w:val="4"/>
        <w:widowControl/>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12.1投标文件和与投标有关的所有文件均应使用汉语。</w:t>
      </w:r>
    </w:p>
    <w:p>
      <w:pPr>
        <w:pStyle w:val="4"/>
        <w:widowControl/>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12.2除工程规范另有规定外，投标文件使用的度量衡单位，均采用中华人民共和国法定计量单位。</w:t>
      </w:r>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8"/>
          <w:szCs w:val="20"/>
          <w:highlight w:val="none"/>
        </w:rPr>
      </w:pPr>
      <w:bookmarkStart w:id="49" w:name="_Toc509841378"/>
      <w:bookmarkStart w:id="50" w:name="_Toc405313155"/>
      <w:bookmarkStart w:id="51" w:name="_Toc8286"/>
      <w:r>
        <w:rPr>
          <w:rFonts w:ascii="Times New Roman" w:hAnsi="Times New Roman" w:eastAsia="宋体"/>
          <w:bCs w:val="0"/>
          <w:color w:val="auto"/>
          <w:spacing w:val="0"/>
          <w:kern w:val="0"/>
          <w:sz w:val="24"/>
          <w:szCs w:val="24"/>
          <w:highlight w:val="none"/>
        </w:rPr>
        <w:t>13、投标文件的组成</w:t>
      </w:r>
      <w:bookmarkEnd w:id="49"/>
      <w:bookmarkEnd w:id="50"/>
      <w:bookmarkEnd w:id="51"/>
    </w:p>
    <w:p>
      <w:pPr>
        <w:pStyle w:val="4"/>
        <w:widowControl/>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投标文件至少应有以下内容（但不限于），并宜采用以下排列顺序，招标文件第五章已规定格式的，应采用规定格式：</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13.1投标函及投标函附录；</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13.2投标担保；</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13.3法定代表人资格证明书；</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13.4法定代表人授权委托书；</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13.5拟派驻本项目现场监理部人员一览表；</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13.6拟派驻本项目现场监理部人员简历表；</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所有拟派驻本项目的现场监理部人员必须每人一表，表后应附有相应岗位的资格证书（或执业资格证书或培训合格证书）、有效身份证、投标人近一年内连续六个月为其缴纳的社会养老保险证明材料（仅总监理工程师提供）的复印件，同时应附其曾承担的类似工程经验证明文件（以中标通知书、监理合同、监理业务手册为准）的复印件。其中总监理工程师的简历表后还应附总监理工程师业绩中获奖项目的证明文件、提供由劳动保障部门出具的近一年内连续六个月的投标人为其缴纳社会养老保险的证明材料（仅总监理工程师提供）的复印件（证明文件要求详见评标办法相关规定）</w:t>
      </w:r>
      <w:r>
        <w:rPr>
          <w:rFonts w:hint="eastAsia" w:ascii="Times New Roman" w:hAnsi="Times New Roman"/>
          <w:color w:val="auto"/>
          <w:sz w:val="22"/>
          <w:szCs w:val="22"/>
          <w:highlight w:val="none"/>
        </w:rPr>
        <w:t>。</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13.7拟投入本项目的技术装备（含检测设备、仪器）一览表</w:t>
      </w:r>
      <w:r>
        <w:rPr>
          <w:rFonts w:hint="eastAsia" w:ascii="Times New Roman" w:hAnsi="Times New Roman"/>
          <w:color w:val="auto"/>
          <w:sz w:val="22"/>
          <w:szCs w:val="22"/>
          <w:highlight w:val="none"/>
        </w:rPr>
        <w:t>。</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13.8投标单位企业概况表，表后应附有以下资料：</w:t>
      </w:r>
    </w:p>
    <w:p>
      <w:pPr>
        <w:widowControl/>
        <w:numPr>
          <w:ilvl w:val="0"/>
          <w:numId w:val="6"/>
        </w:numPr>
        <w:tabs>
          <w:tab w:val="left" w:pos="900"/>
          <w:tab w:val="left" w:pos="1440"/>
        </w:tabs>
        <w:spacing w:before="100" w:line="430" w:lineRule="exact"/>
        <w:ind w:left="0" w:firstLine="420"/>
        <w:rPr>
          <w:rFonts w:ascii="Times New Roman" w:hAnsi="Times New Roman"/>
          <w:color w:val="auto"/>
          <w:sz w:val="22"/>
          <w:szCs w:val="22"/>
          <w:highlight w:val="none"/>
        </w:rPr>
      </w:pPr>
      <w:r>
        <w:rPr>
          <w:rFonts w:ascii="Times New Roman" w:hAnsi="Times New Roman"/>
          <w:color w:val="auto"/>
          <w:sz w:val="22"/>
          <w:szCs w:val="22"/>
          <w:highlight w:val="none"/>
        </w:rPr>
        <w:t>企业法人营业执照（复印件）；</w:t>
      </w:r>
    </w:p>
    <w:p>
      <w:pPr>
        <w:widowControl/>
        <w:numPr>
          <w:ilvl w:val="0"/>
          <w:numId w:val="6"/>
        </w:numPr>
        <w:tabs>
          <w:tab w:val="left" w:pos="900"/>
          <w:tab w:val="left" w:pos="1440"/>
        </w:tabs>
        <w:spacing w:before="100" w:line="430" w:lineRule="exact"/>
        <w:ind w:left="0" w:firstLine="420"/>
        <w:rPr>
          <w:rFonts w:ascii="Times New Roman" w:hAnsi="Times New Roman"/>
          <w:color w:val="auto"/>
          <w:sz w:val="22"/>
          <w:szCs w:val="22"/>
          <w:highlight w:val="none"/>
        </w:rPr>
      </w:pPr>
      <w:r>
        <w:rPr>
          <w:rFonts w:ascii="Times New Roman" w:hAnsi="Times New Roman"/>
          <w:color w:val="auto"/>
          <w:sz w:val="22"/>
          <w:szCs w:val="22"/>
          <w:highlight w:val="none"/>
        </w:rPr>
        <w:t>企业资质证书副本（复印件）；</w:t>
      </w:r>
    </w:p>
    <w:p>
      <w:pPr>
        <w:widowControl/>
        <w:numPr>
          <w:ilvl w:val="0"/>
          <w:numId w:val="6"/>
        </w:numPr>
        <w:tabs>
          <w:tab w:val="left" w:pos="900"/>
          <w:tab w:val="left" w:pos="1440"/>
        </w:tabs>
        <w:spacing w:before="100" w:line="430" w:lineRule="exact"/>
        <w:ind w:left="0" w:firstLine="420"/>
        <w:rPr>
          <w:rFonts w:ascii="Times New Roman" w:hAnsi="Times New Roman"/>
          <w:color w:val="auto"/>
          <w:sz w:val="22"/>
          <w:szCs w:val="22"/>
          <w:highlight w:val="none"/>
        </w:rPr>
      </w:pPr>
      <w:r>
        <w:rPr>
          <w:rFonts w:ascii="Times New Roman" w:hAnsi="Times New Roman"/>
          <w:color w:val="auto"/>
          <w:sz w:val="22"/>
          <w:szCs w:val="22"/>
          <w:highlight w:val="none"/>
        </w:rPr>
        <w:t>企业通过相关认证情况的有关证明文件（复印件，如有）；</w:t>
      </w:r>
    </w:p>
    <w:p>
      <w:pPr>
        <w:widowControl/>
        <w:numPr>
          <w:ilvl w:val="0"/>
          <w:numId w:val="6"/>
        </w:numPr>
        <w:tabs>
          <w:tab w:val="left" w:pos="900"/>
          <w:tab w:val="left" w:pos="1440"/>
        </w:tabs>
        <w:spacing w:before="100" w:line="430" w:lineRule="exact"/>
        <w:ind w:left="0" w:firstLine="420"/>
        <w:rPr>
          <w:rFonts w:ascii="Times New Roman" w:hAnsi="Times New Roman"/>
          <w:color w:val="auto"/>
          <w:sz w:val="22"/>
          <w:szCs w:val="22"/>
          <w:highlight w:val="none"/>
        </w:rPr>
      </w:pPr>
      <w:r>
        <w:rPr>
          <w:rFonts w:ascii="Times New Roman" w:hAnsi="Times New Roman"/>
          <w:color w:val="auto"/>
          <w:sz w:val="22"/>
          <w:szCs w:val="22"/>
          <w:highlight w:val="none"/>
        </w:rPr>
        <w:t>企业诚信等级情况有关证明文件（复印件，如有）；</w:t>
      </w:r>
    </w:p>
    <w:p>
      <w:pPr>
        <w:widowControl/>
        <w:numPr>
          <w:ilvl w:val="0"/>
          <w:numId w:val="6"/>
        </w:numPr>
        <w:tabs>
          <w:tab w:val="left" w:pos="900"/>
          <w:tab w:val="left" w:pos="1440"/>
        </w:tabs>
        <w:spacing w:before="100" w:line="430" w:lineRule="exact"/>
        <w:ind w:left="0" w:firstLine="420"/>
        <w:rPr>
          <w:rFonts w:ascii="Times New Roman" w:hAnsi="Times New Roman"/>
          <w:color w:val="auto"/>
          <w:sz w:val="22"/>
          <w:szCs w:val="22"/>
          <w:highlight w:val="none"/>
        </w:rPr>
      </w:pPr>
      <w:r>
        <w:rPr>
          <w:rFonts w:ascii="Times New Roman" w:hAnsi="Times New Roman"/>
          <w:color w:val="auto"/>
          <w:sz w:val="22"/>
          <w:szCs w:val="22"/>
          <w:highlight w:val="none"/>
        </w:rPr>
        <w:t>投标人项目获奖情况的证明文件（复印件，如有，证明文件要求详见评标办法相关规定）</w:t>
      </w:r>
      <w:r>
        <w:rPr>
          <w:rFonts w:hint="eastAsia" w:ascii="Times New Roman" w:hAnsi="Times New Roman"/>
          <w:color w:val="auto"/>
          <w:sz w:val="22"/>
          <w:szCs w:val="22"/>
          <w:highlight w:val="none"/>
        </w:rPr>
        <w:t>；</w:t>
      </w:r>
    </w:p>
    <w:p>
      <w:pPr>
        <w:widowControl/>
        <w:numPr>
          <w:ilvl w:val="0"/>
          <w:numId w:val="6"/>
        </w:numPr>
        <w:tabs>
          <w:tab w:val="left" w:pos="900"/>
          <w:tab w:val="left" w:pos="1440"/>
        </w:tabs>
        <w:spacing w:before="100" w:line="430" w:lineRule="exact"/>
        <w:ind w:left="0" w:firstLine="420"/>
        <w:rPr>
          <w:rFonts w:ascii="Times New Roman" w:hAnsi="Times New Roman"/>
          <w:color w:val="auto"/>
          <w:sz w:val="22"/>
          <w:szCs w:val="22"/>
          <w:highlight w:val="none"/>
        </w:rPr>
      </w:pPr>
      <w:r>
        <w:rPr>
          <w:rFonts w:ascii="Times New Roman" w:hAnsi="Times New Roman"/>
          <w:color w:val="auto"/>
          <w:sz w:val="22"/>
          <w:szCs w:val="22"/>
          <w:highlight w:val="none"/>
        </w:rPr>
        <w:t>投标单位认为需提供的其他资料。</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 xml:space="preserve">13.9投标人近四年已完类似监理工程一览表，表后须附类似工程的中标通知书（若为招标工程）、监理合同、监理业务手册的复印件；类似工程的判定标准如下，判定依据详见本招标文件评标办法相关规定。 </w:t>
      </w:r>
    </w:p>
    <w:p>
      <w:pPr>
        <w:widowControl/>
        <w:tabs>
          <w:tab w:val="left" w:pos="900"/>
          <w:tab w:val="left" w:pos="1440"/>
        </w:tabs>
        <w:spacing w:before="100" w:line="430" w:lineRule="exact"/>
        <w:ind w:firstLine="442" w:firstLineChars="200"/>
        <w:rPr>
          <w:rFonts w:ascii="Times New Roman" w:hAnsi="Times New Roman"/>
          <w:b/>
          <w:bCs/>
          <w:color w:val="auto"/>
          <w:sz w:val="24"/>
          <w:highlight w:val="none"/>
        </w:rPr>
      </w:pPr>
      <w:r>
        <w:rPr>
          <w:rFonts w:ascii="Times New Roman" w:hAnsi="Times New Roman"/>
          <w:b/>
          <w:bCs/>
          <w:color w:val="auto"/>
          <w:sz w:val="22"/>
          <w:szCs w:val="22"/>
          <w:highlight w:val="none"/>
        </w:rPr>
        <w:t>类似工程判定标准：</w:t>
      </w:r>
      <w:r>
        <w:rPr>
          <w:rFonts w:ascii="Times New Roman" w:hAnsi="Times New Roman"/>
          <w:b/>
          <w:bCs/>
          <w:color w:val="auto"/>
          <w:szCs w:val="21"/>
          <w:highlight w:val="none"/>
        </w:rPr>
        <w:t>本项目类似工程指近四年已完工的监理合同</w:t>
      </w:r>
      <w:r>
        <w:rPr>
          <w:rFonts w:hint="eastAsia" w:ascii="Times New Roman" w:hAnsi="Times New Roman"/>
          <w:b/>
          <w:bCs/>
          <w:color w:val="auto"/>
          <w:szCs w:val="21"/>
          <w:highlight w:val="none"/>
        </w:rPr>
        <w:t>建安</w:t>
      </w:r>
      <w:r>
        <w:rPr>
          <w:rFonts w:ascii="Times New Roman" w:hAnsi="Times New Roman"/>
          <w:b/>
          <w:bCs/>
          <w:color w:val="auto"/>
          <w:szCs w:val="21"/>
          <w:highlight w:val="none"/>
        </w:rPr>
        <w:t>工程造价在</w:t>
      </w:r>
      <w:r>
        <w:rPr>
          <w:rFonts w:hint="eastAsia" w:ascii="Times New Roman" w:hAnsi="Times New Roman"/>
          <w:b/>
          <w:bCs/>
          <w:color w:val="auto"/>
          <w:szCs w:val="21"/>
          <w:highlight w:val="none"/>
        </w:rPr>
        <w:t>45</w:t>
      </w:r>
      <w:r>
        <w:rPr>
          <w:rFonts w:ascii="Times New Roman" w:hAnsi="Times New Roman"/>
          <w:b/>
          <w:bCs/>
          <w:color w:val="auto"/>
          <w:szCs w:val="21"/>
          <w:highlight w:val="none"/>
        </w:rPr>
        <w:t>000万元及以上或者单项合同监理费为</w:t>
      </w:r>
      <w:r>
        <w:rPr>
          <w:rFonts w:hint="eastAsia" w:ascii="Times New Roman" w:hAnsi="Times New Roman"/>
          <w:b/>
          <w:bCs/>
          <w:color w:val="auto"/>
          <w:szCs w:val="21"/>
          <w:highlight w:val="none"/>
          <w:lang w:val="en-US" w:eastAsia="zh-CN"/>
        </w:rPr>
        <w:t>520</w:t>
      </w:r>
      <w:r>
        <w:rPr>
          <w:rFonts w:ascii="Times New Roman" w:hAnsi="Times New Roman"/>
          <w:b/>
          <w:bCs/>
          <w:color w:val="auto"/>
          <w:szCs w:val="21"/>
          <w:highlight w:val="none"/>
        </w:rPr>
        <w:t>万元及以上的</w:t>
      </w:r>
      <w:r>
        <w:rPr>
          <w:rFonts w:hint="eastAsia" w:ascii="Times New Roman" w:hAnsi="Times New Roman"/>
          <w:b/>
          <w:bCs/>
          <w:color w:val="auto"/>
          <w:szCs w:val="21"/>
          <w:highlight w:val="none"/>
        </w:rPr>
        <w:t>市政桥梁</w:t>
      </w:r>
      <w:r>
        <w:rPr>
          <w:rFonts w:ascii="Times New Roman" w:hAnsi="Times New Roman"/>
          <w:b/>
          <w:bCs/>
          <w:color w:val="auto"/>
          <w:szCs w:val="21"/>
          <w:highlight w:val="none"/>
        </w:rPr>
        <w:t>监理项目</w:t>
      </w:r>
      <w:r>
        <w:rPr>
          <w:rFonts w:ascii="Times New Roman" w:hAnsi="Times New Roman"/>
          <w:b/>
          <w:bCs/>
          <w:color w:val="auto"/>
          <w:sz w:val="22"/>
          <w:szCs w:val="22"/>
          <w:highlight w:val="none"/>
        </w:rPr>
        <w:t>，</w:t>
      </w:r>
      <w:r>
        <w:rPr>
          <w:rFonts w:ascii="Times New Roman" w:hAnsi="Times New Roman"/>
          <w:b/>
          <w:bCs/>
          <w:color w:val="auto"/>
          <w:szCs w:val="21"/>
          <w:highlight w:val="none"/>
        </w:rPr>
        <w:t>（类似工程加分有效期投标人为48个月，拟任总监理工程师、专业监理工程师及监理员为60个月，按监理业务手册上注明的竣工时间计算。招标工程以同时提供的中标通知书、监理合同、监理业务手册原件为准；非招标工程以同时提供监理合同、监理业务手册原件为准；未提供上述资料的或虽提供但不符合要求的，则视同无类似项目经历。）在投标文件中附复印件（或扫描件），方可加分，否则不加分。</w:t>
      </w:r>
    </w:p>
    <w:p>
      <w:pPr>
        <w:widowControl/>
        <w:tabs>
          <w:tab w:val="left" w:pos="900"/>
          <w:tab w:val="left" w:pos="1440"/>
        </w:tabs>
        <w:spacing w:before="100" w:line="4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13.10投标人及拟任总监、专业监理工程师的不良行为记录证明文件的复印件或相关证明。（注：《湖南省建筑市场责任主体不良行为记录名单》不需投标人提供）</w:t>
      </w:r>
    </w:p>
    <w:p>
      <w:pPr>
        <w:widowControl/>
        <w:tabs>
          <w:tab w:val="left" w:pos="900"/>
          <w:tab w:val="left" w:pos="1440"/>
        </w:tabs>
        <w:spacing w:before="100" w:line="4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13.11监理大纲，大纲中部分内容应满足以下要求：</w:t>
      </w:r>
    </w:p>
    <w:p>
      <w:pPr>
        <w:widowControl/>
        <w:tabs>
          <w:tab w:val="left" w:pos="900"/>
          <w:tab w:val="left" w:pos="1440"/>
        </w:tabs>
        <w:spacing w:before="100" w:line="4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1）施工阶段的监理工作程序，具体内容应符合《建设工程监理规范》GB50319-2013中第5条有关要求；</w:t>
      </w:r>
    </w:p>
    <w:p>
      <w:pPr>
        <w:widowControl/>
        <w:tabs>
          <w:tab w:val="left" w:pos="900"/>
          <w:tab w:val="left" w:pos="1440"/>
        </w:tabs>
        <w:spacing w:before="100" w:line="4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2）施工合同管理的其他工作应符合《建设工程监理规范》GB50319-2013中第6条有关规定要求；</w:t>
      </w:r>
    </w:p>
    <w:p>
      <w:pPr>
        <w:widowControl/>
        <w:tabs>
          <w:tab w:val="left" w:pos="900"/>
          <w:tab w:val="left" w:pos="1440"/>
        </w:tabs>
        <w:spacing w:before="100" w:line="400" w:lineRule="exact"/>
        <w:ind w:firstLine="440" w:firstLineChars="200"/>
        <w:rPr>
          <w:rFonts w:ascii="Times New Roman" w:hAnsi="Times New Roman"/>
          <w:b/>
          <w:bCs/>
          <w:color w:val="auto"/>
          <w:sz w:val="22"/>
          <w:szCs w:val="22"/>
          <w:highlight w:val="none"/>
        </w:rPr>
      </w:pPr>
      <w:r>
        <w:rPr>
          <w:rFonts w:ascii="Times New Roman" w:hAnsi="Times New Roman"/>
          <w:color w:val="auto"/>
          <w:sz w:val="22"/>
          <w:szCs w:val="22"/>
          <w:highlight w:val="none"/>
        </w:rPr>
        <w:t>3）施工阶段监理资料的管理及包括的内容应符合《建设工程监理规范》GB50319-2013中第7条有关要求。</w:t>
      </w:r>
    </w:p>
    <w:p>
      <w:pPr>
        <w:pStyle w:val="5"/>
        <w:keepNext w:val="0"/>
        <w:keepLines w:val="0"/>
        <w:pageBreakBefore w:val="0"/>
        <w:widowControl/>
        <w:autoSpaceDE/>
        <w:autoSpaceDN/>
        <w:adjustRightInd/>
        <w:spacing w:before="156" w:beforeLines="50" w:after="0" w:line="400" w:lineRule="exact"/>
        <w:jc w:val="both"/>
        <w:rPr>
          <w:rFonts w:ascii="Times New Roman" w:hAnsi="Times New Roman" w:eastAsia="宋体"/>
          <w:bCs w:val="0"/>
          <w:color w:val="auto"/>
          <w:spacing w:val="0"/>
          <w:kern w:val="0"/>
          <w:sz w:val="24"/>
          <w:szCs w:val="24"/>
          <w:highlight w:val="none"/>
        </w:rPr>
      </w:pPr>
      <w:bookmarkStart w:id="52" w:name="_Toc509841379"/>
      <w:bookmarkStart w:id="53" w:name="_Toc21755"/>
      <w:bookmarkStart w:id="54" w:name="_Toc405313156"/>
      <w:r>
        <w:rPr>
          <w:rFonts w:ascii="Times New Roman" w:hAnsi="Times New Roman" w:eastAsia="宋体"/>
          <w:bCs w:val="0"/>
          <w:color w:val="auto"/>
          <w:spacing w:val="0"/>
          <w:kern w:val="0"/>
          <w:sz w:val="24"/>
          <w:szCs w:val="24"/>
          <w:highlight w:val="none"/>
        </w:rPr>
        <w:t>14、投标文件格式</w:t>
      </w:r>
      <w:bookmarkEnd w:id="52"/>
      <w:bookmarkEnd w:id="53"/>
      <w:bookmarkEnd w:id="54"/>
    </w:p>
    <w:p>
      <w:pPr>
        <w:widowControl/>
        <w:tabs>
          <w:tab w:val="left" w:pos="900"/>
          <w:tab w:val="left" w:pos="1440"/>
        </w:tabs>
        <w:spacing w:before="100" w:line="4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14.1投标文件应采用A4纸或A3纸张打印或复印，有用到A3纸张的，宜将其折叠成A4纸大小装订。招标文件已规定格式的，应采用规定格式（详见第四章），但可以按同样格式扩展，招标文件未规定格式的，由投标人自行编写。</w:t>
      </w:r>
    </w:p>
    <w:p>
      <w:pPr>
        <w:pStyle w:val="5"/>
        <w:keepNext w:val="0"/>
        <w:keepLines w:val="0"/>
        <w:pageBreakBefore w:val="0"/>
        <w:widowControl/>
        <w:numPr>
          <w:ilvl w:val="0"/>
          <w:numId w:val="7"/>
        </w:numPr>
        <w:autoSpaceDE/>
        <w:autoSpaceDN/>
        <w:adjustRightInd/>
        <w:spacing w:before="156" w:beforeLines="50" w:after="0" w:line="400" w:lineRule="exact"/>
        <w:jc w:val="both"/>
        <w:rPr>
          <w:rFonts w:ascii="Times New Roman" w:hAnsi="Times New Roman" w:eastAsia="宋体"/>
          <w:bCs w:val="0"/>
          <w:color w:val="auto"/>
          <w:spacing w:val="0"/>
          <w:kern w:val="0"/>
          <w:sz w:val="24"/>
          <w:szCs w:val="24"/>
          <w:highlight w:val="none"/>
        </w:rPr>
      </w:pPr>
      <w:bookmarkStart w:id="55" w:name="_Toc509841380"/>
      <w:bookmarkStart w:id="56" w:name="_Toc19203"/>
      <w:bookmarkStart w:id="57" w:name="_Toc405313157"/>
      <w:r>
        <w:rPr>
          <w:rFonts w:ascii="Times New Roman" w:hAnsi="Times New Roman" w:eastAsia="宋体"/>
          <w:bCs w:val="0"/>
          <w:color w:val="auto"/>
          <w:spacing w:val="0"/>
          <w:kern w:val="0"/>
          <w:sz w:val="24"/>
          <w:szCs w:val="24"/>
          <w:highlight w:val="none"/>
        </w:rPr>
        <w:t>投标价格</w:t>
      </w:r>
      <w:bookmarkEnd w:id="55"/>
      <w:bookmarkEnd w:id="56"/>
      <w:bookmarkEnd w:id="57"/>
    </w:p>
    <w:p>
      <w:pPr>
        <w:widowControl/>
        <w:tabs>
          <w:tab w:val="left" w:pos="900"/>
          <w:tab w:val="left" w:pos="1440"/>
        </w:tabs>
        <w:spacing w:before="100" w:line="440" w:lineRule="exact"/>
        <w:ind w:firstLine="442" w:firstLineChars="200"/>
        <w:rPr>
          <w:rFonts w:ascii="Times New Roman" w:hAnsi="Times New Roman"/>
          <w:b/>
          <w:color w:val="auto"/>
          <w:sz w:val="22"/>
          <w:szCs w:val="22"/>
          <w:highlight w:val="none"/>
        </w:rPr>
      </w:pPr>
      <w:bookmarkStart w:id="58" w:name="_Toc405313158"/>
      <w:bookmarkStart w:id="59" w:name="_Toc330493469"/>
      <w:bookmarkStart w:id="60" w:name="_Toc8895"/>
      <w:r>
        <w:rPr>
          <w:rFonts w:ascii="Times New Roman" w:hAnsi="Times New Roman"/>
          <w:b/>
          <w:color w:val="auto"/>
          <w:sz w:val="22"/>
          <w:szCs w:val="22"/>
          <w:highlight w:val="none"/>
        </w:rPr>
        <w:t xml:space="preserve">15.1投标人的投标价格，应是监理服务期内投标人按招标文件规定的范围所提供的全部服务所需的费用，包括劳务费、办公费、技术服务费、检验仪器及设备的使用和管理费、企业管理费、利润、保险、税费等费用以及按本须知第8条规定要求投标人考虑的费用。 </w:t>
      </w:r>
    </w:p>
    <w:p>
      <w:pPr>
        <w:widowControl/>
        <w:tabs>
          <w:tab w:val="left" w:pos="900"/>
          <w:tab w:val="left" w:pos="1440"/>
        </w:tabs>
        <w:spacing w:before="100" w:line="410" w:lineRule="exact"/>
        <w:ind w:firstLine="440" w:firstLineChars="200"/>
        <w:rPr>
          <w:rFonts w:ascii="Times New Roman" w:hAnsi="Times New Roman"/>
          <w:b/>
          <w:color w:val="auto"/>
          <w:sz w:val="24"/>
          <w:highlight w:val="none"/>
        </w:rPr>
      </w:pPr>
      <w:r>
        <w:rPr>
          <w:rFonts w:ascii="Times New Roman" w:hAnsi="Times New Roman"/>
          <w:color w:val="auto"/>
          <w:sz w:val="22"/>
          <w:szCs w:val="22"/>
          <w:highlight w:val="none"/>
        </w:rPr>
        <w:t>15.2监理费</w:t>
      </w:r>
      <w:r>
        <w:rPr>
          <w:rFonts w:hint="eastAsia" w:ascii="Times New Roman" w:hAnsi="Times New Roman"/>
          <w:color w:val="auto"/>
          <w:szCs w:val="21"/>
          <w:highlight w:val="none"/>
        </w:rPr>
        <w:t>以财政评审中心及</w:t>
      </w:r>
      <w:r>
        <w:rPr>
          <w:rFonts w:ascii="Times New Roman" w:hAnsi="Times New Roman"/>
          <w:color w:val="auto"/>
          <w:szCs w:val="21"/>
          <w:highlight w:val="none"/>
        </w:rPr>
        <w:t>审计局确定的招标控制价为准</w:t>
      </w:r>
      <w:r>
        <w:rPr>
          <w:rFonts w:ascii="Times New Roman" w:hAnsi="Times New Roman"/>
          <w:color w:val="auto"/>
          <w:sz w:val="22"/>
          <w:szCs w:val="22"/>
          <w:highlight w:val="none"/>
        </w:rPr>
        <w:t>，本工程的监理费采取固定</w:t>
      </w:r>
      <w:r>
        <w:rPr>
          <w:rFonts w:hint="eastAsia" w:ascii="Times New Roman" w:hAnsi="Times New Roman"/>
          <w:color w:val="auto"/>
          <w:sz w:val="22"/>
          <w:szCs w:val="22"/>
          <w:highlight w:val="none"/>
        </w:rPr>
        <w:t>总</w:t>
      </w:r>
      <w:r>
        <w:rPr>
          <w:rFonts w:ascii="Times New Roman" w:hAnsi="Times New Roman"/>
          <w:color w:val="auto"/>
          <w:sz w:val="22"/>
          <w:szCs w:val="22"/>
          <w:highlight w:val="none"/>
        </w:rPr>
        <w:t>价的合同价格形式，在招标文件规定的服务期限内，此固定</w:t>
      </w:r>
      <w:r>
        <w:rPr>
          <w:rFonts w:hint="eastAsia" w:ascii="Times New Roman" w:hAnsi="Times New Roman"/>
          <w:color w:val="auto"/>
          <w:sz w:val="22"/>
          <w:szCs w:val="22"/>
          <w:highlight w:val="none"/>
        </w:rPr>
        <w:t>总</w:t>
      </w:r>
      <w:r>
        <w:rPr>
          <w:rFonts w:ascii="Times New Roman" w:hAnsi="Times New Roman"/>
          <w:color w:val="auto"/>
          <w:sz w:val="22"/>
          <w:szCs w:val="22"/>
          <w:highlight w:val="none"/>
        </w:rPr>
        <w:t>价不作任何调整。</w:t>
      </w:r>
      <w:r>
        <w:rPr>
          <w:rFonts w:ascii="Times New Roman" w:hAnsi="Times New Roman"/>
          <w:b/>
          <w:color w:val="auto"/>
          <w:sz w:val="22"/>
          <w:szCs w:val="22"/>
          <w:highlight w:val="none"/>
        </w:rPr>
        <w:t>本项目报价计费基数暂按</w:t>
      </w:r>
      <w:r>
        <w:rPr>
          <w:rFonts w:hint="eastAsia" w:ascii="Times New Roman" w:hAnsi="Times New Roman"/>
          <w:b/>
          <w:color w:val="auto"/>
          <w:sz w:val="22"/>
          <w:szCs w:val="22"/>
          <w:highlight w:val="none"/>
          <w:u w:val="single"/>
          <w:lang w:val="en-US" w:eastAsia="zh-CN"/>
        </w:rPr>
        <w:t>102027.10</w:t>
      </w:r>
      <w:r>
        <w:rPr>
          <w:rFonts w:ascii="Times New Roman" w:hAnsi="Times New Roman"/>
          <w:b/>
          <w:color w:val="auto"/>
          <w:sz w:val="22"/>
          <w:szCs w:val="22"/>
          <w:highlight w:val="none"/>
          <w:u w:val="single"/>
        </w:rPr>
        <w:t xml:space="preserve"> </w:t>
      </w:r>
      <w:r>
        <w:rPr>
          <w:rFonts w:ascii="Times New Roman" w:hAnsi="Times New Roman"/>
          <w:b/>
          <w:color w:val="auto"/>
          <w:sz w:val="22"/>
          <w:szCs w:val="22"/>
          <w:highlight w:val="none"/>
        </w:rPr>
        <w:t>万元计算，监理服务费最高投标限价为</w:t>
      </w:r>
      <w:r>
        <w:rPr>
          <w:rFonts w:ascii="Times New Roman" w:hAnsi="Times New Roman"/>
          <w:b/>
          <w:bCs/>
          <w:color w:val="auto"/>
          <w:sz w:val="22"/>
          <w:szCs w:val="22"/>
          <w:highlight w:val="none"/>
          <w:u w:val="single"/>
        </w:rPr>
        <w:t xml:space="preserve"> </w:t>
      </w:r>
      <w:r>
        <w:rPr>
          <w:rFonts w:hint="eastAsia" w:ascii="Times New Roman" w:hAnsi="Times New Roman"/>
          <w:b/>
          <w:bCs/>
          <w:color w:val="auto"/>
          <w:sz w:val="22"/>
          <w:szCs w:val="22"/>
          <w:highlight w:val="none"/>
          <w:u w:val="single"/>
          <w:lang w:val="en-US" w:eastAsia="zh-CN"/>
        </w:rPr>
        <w:t>1320</w:t>
      </w:r>
      <w:r>
        <w:rPr>
          <w:rFonts w:ascii="Times New Roman" w:hAnsi="Times New Roman"/>
          <w:b/>
          <w:bCs/>
          <w:color w:val="auto"/>
          <w:sz w:val="22"/>
          <w:szCs w:val="22"/>
          <w:highlight w:val="none"/>
          <w:u w:val="single"/>
        </w:rPr>
        <w:t xml:space="preserve"> </w:t>
      </w:r>
      <w:r>
        <w:rPr>
          <w:rFonts w:ascii="Times New Roman" w:hAnsi="Times New Roman"/>
          <w:b/>
          <w:bCs/>
          <w:color w:val="auto"/>
          <w:sz w:val="22"/>
          <w:szCs w:val="22"/>
          <w:highlight w:val="none"/>
        </w:rPr>
        <w:t>万</w:t>
      </w:r>
      <w:r>
        <w:rPr>
          <w:rFonts w:ascii="Times New Roman" w:hAnsi="Times New Roman"/>
          <w:b/>
          <w:color w:val="auto"/>
          <w:sz w:val="22"/>
          <w:szCs w:val="22"/>
          <w:highlight w:val="none"/>
        </w:rPr>
        <w:t>元。投标人报价应在最高投标限价与最高投标限价下浮8%之间取值，超过范围的投标报价做废标处理。</w:t>
      </w:r>
    </w:p>
    <w:p>
      <w:pPr>
        <w:widowControl/>
        <w:tabs>
          <w:tab w:val="left" w:pos="900"/>
          <w:tab w:val="left" w:pos="1440"/>
        </w:tabs>
        <w:spacing w:before="100" w:line="440" w:lineRule="exact"/>
        <w:ind w:firstLine="442" w:firstLineChars="200"/>
        <w:rPr>
          <w:rFonts w:hint="eastAsia" w:ascii="Times New Roman" w:hAnsi="Times New Roman" w:eastAsia="宋体"/>
          <w:color w:val="auto"/>
          <w:sz w:val="22"/>
          <w:szCs w:val="22"/>
          <w:highlight w:val="none"/>
          <w:lang w:eastAsia="zh-CN"/>
        </w:rPr>
      </w:pPr>
      <w:r>
        <w:rPr>
          <w:rFonts w:ascii="Times New Roman" w:hAnsi="Times New Roman"/>
          <w:b/>
          <w:bCs/>
          <w:color w:val="auto"/>
          <w:sz w:val="22"/>
          <w:szCs w:val="22"/>
          <w:highlight w:val="none"/>
        </w:rPr>
        <w:t>计费额：</w:t>
      </w:r>
      <w:r>
        <w:rPr>
          <w:rFonts w:hint="eastAsia" w:ascii="Times New Roman" w:hAnsi="Times New Roman"/>
          <w:b/>
          <w:bCs/>
          <w:color w:val="auto"/>
          <w:sz w:val="22"/>
          <w:szCs w:val="22"/>
          <w:highlight w:val="none"/>
          <w:lang w:val="en-US" w:eastAsia="zh-CN"/>
        </w:rPr>
        <w:t>102027.10</w:t>
      </w:r>
      <w:r>
        <w:rPr>
          <w:rFonts w:ascii="Times New Roman" w:hAnsi="Times New Roman"/>
          <w:b/>
          <w:bCs/>
          <w:color w:val="auto"/>
          <w:sz w:val="22"/>
          <w:szCs w:val="22"/>
          <w:highlight w:val="none"/>
        </w:rPr>
        <w:t>万元</w:t>
      </w:r>
      <w:r>
        <w:rPr>
          <w:rFonts w:hint="eastAsia" w:ascii="Times New Roman" w:hAnsi="Times New Roman"/>
          <w:b/>
          <w:bCs/>
          <w:color w:val="auto"/>
          <w:sz w:val="22"/>
          <w:szCs w:val="22"/>
          <w:highlight w:val="none"/>
          <w:lang w:eastAsia="zh-CN"/>
        </w:rPr>
        <w:t>（本项目投资估算建安工程费为</w:t>
      </w:r>
      <w:r>
        <w:rPr>
          <w:rFonts w:hint="eastAsia" w:ascii="Times New Roman" w:hAnsi="Times New Roman"/>
          <w:b/>
          <w:bCs/>
          <w:color w:val="auto"/>
          <w:sz w:val="22"/>
          <w:szCs w:val="22"/>
          <w:highlight w:val="none"/>
          <w:lang w:val="en-US" w:eastAsia="zh-CN"/>
        </w:rPr>
        <w:t>113363.44万元，其中桥梁部分的投资估算建安费为99134.05万元，占总投资的87.455%,其他市政部分投资估算建安工程费为14229.39万元，占总投资的12.55%。本次监理费的计费基数按9折考虑，即113363.44*0.9=102027.10万元。</w:t>
      </w:r>
      <w:r>
        <w:rPr>
          <w:rFonts w:hint="eastAsia" w:ascii="Times New Roman" w:hAnsi="Times New Roman"/>
          <w:b/>
          <w:bCs/>
          <w:color w:val="auto"/>
          <w:sz w:val="22"/>
          <w:szCs w:val="22"/>
          <w:highlight w:val="none"/>
          <w:lang w:eastAsia="zh-CN"/>
        </w:rPr>
        <w:t>）</w:t>
      </w:r>
    </w:p>
    <w:p>
      <w:pPr>
        <w:spacing w:line="44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最高投标限价为</w:t>
      </w:r>
      <w:r>
        <w:rPr>
          <w:rFonts w:ascii="Times New Roman" w:hAnsi="Times New Roman"/>
          <w:b/>
          <w:bCs/>
          <w:color w:val="auto"/>
          <w:sz w:val="22"/>
          <w:szCs w:val="22"/>
          <w:highlight w:val="none"/>
          <w:u w:val="single"/>
        </w:rPr>
        <w:t xml:space="preserve"> </w:t>
      </w:r>
      <w:r>
        <w:rPr>
          <w:rFonts w:hint="eastAsia" w:ascii="Times New Roman" w:hAnsi="Times New Roman"/>
          <w:b/>
          <w:bCs/>
          <w:color w:val="auto"/>
          <w:sz w:val="22"/>
          <w:szCs w:val="22"/>
          <w:highlight w:val="none"/>
          <w:u w:val="single"/>
          <w:lang w:val="en-US" w:eastAsia="zh-CN"/>
        </w:rPr>
        <w:t>1320</w:t>
      </w:r>
      <w:r>
        <w:rPr>
          <w:rFonts w:ascii="Times New Roman" w:hAnsi="Times New Roman"/>
          <w:color w:val="auto"/>
          <w:sz w:val="22"/>
          <w:szCs w:val="22"/>
          <w:highlight w:val="none"/>
        </w:rPr>
        <w:t>万元</w:t>
      </w:r>
    </w:p>
    <w:p>
      <w:pPr>
        <w:spacing w:line="44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收费基价=1507+（</w:t>
      </w:r>
      <w:r>
        <w:rPr>
          <w:rFonts w:hint="eastAsia" w:ascii="Times New Roman" w:hAnsi="Times New Roman"/>
          <w:color w:val="auto"/>
          <w:sz w:val="22"/>
          <w:szCs w:val="22"/>
          <w:highlight w:val="none"/>
          <w:lang w:val="en-US" w:eastAsia="zh-CN"/>
        </w:rPr>
        <w:t>2712.5-1507</w:t>
      </w:r>
      <w:r>
        <w:rPr>
          <w:rFonts w:ascii="Times New Roman" w:hAnsi="Times New Roman"/>
          <w:color w:val="auto"/>
          <w:sz w:val="22"/>
          <w:szCs w:val="22"/>
          <w:highlight w:val="none"/>
        </w:rPr>
        <w:t>）</w:t>
      </w:r>
      <w:r>
        <w:rPr>
          <w:rFonts w:hint="eastAsia" w:ascii="Times New Roman" w:hAnsi="Times New Roman"/>
          <w:color w:val="auto"/>
          <w:sz w:val="22"/>
          <w:szCs w:val="22"/>
          <w:highlight w:val="none"/>
          <w:lang w:val="en-US" w:eastAsia="zh-CN"/>
        </w:rPr>
        <w:t>/（200000-100000）</w:t>
      </w:r>
      <w:r>
        <w:rPr>
          <w:rFonts w:ascii="Times New Roman" w:hAnsi="Times New Roman"/>
          <w:color w:val="auto"/>
          <w:sz w:val="22"/>
          <w:szCs w:val="22"/>
          <w:highlight w:val="none"/>
        </w:rPr>
        <w:t>*（</w:t>
      </w:r>
      <w:r>
        <w:rPr>
          <w:rFonts w:hint="eastAsia" w:ascii="Times New Roman" w:hAnsi="Times New Roman"/>
          <w:color w:val="auto"/>
          <w:sz w:val="22"/>
          <w:szCs w:val="22"/>
          <w:highlight w:val="none"/>
          <w:lang w:val="en-US" w:eastAsia="zh-CN"/>
        </w:rPr>
        <w:t>102027.10-100000</w:t>
      </w:r>
      <w:r>
        <w:rPr>
          <w:rFonts w:ascii="Times New Roman" w:hAnsi="Times New Roman"/>
          <w:color w:val="auto"/>
          <w:sz w:val="22"/>
          <w:szCs w:val="22"/>
          <w:highlight w:val="none"/>
        </w:rPr>
        <w:t>）=</w:t>
      </w:r>
      <w:r>
        <w:rPr>
          <w:rFonts w:hint="eastAsia" w:ascii="Times New Roman" w:hAnsi="Times New Roman"/>
          <w:color w:val="auto"/>
          <w:sz w:val="22"/>
          <w:szCs w:val="22"/>
          <w:highlight w:val="none"/>
          <w:lang w:val="en-US" w:eastAsia="zh-CN"/>
        </w:rPr>
        <w:t>1531.44</w:t>
      </w:r>
      <w:r>
        <w:rPr>
          <w:rFonts w:ascii="Times New Roman" w:hAnsi="Times New Roman"/>
          <w:color w:val="auto"/>
          <w:sz w:val="22"/>
          <w:szCs w:val="22"/>
          <w:highlight w:val="none"/>
        </w:rPr>
        <w:t>万元</w:t>
      </w:r>
    </w:p>
    <w:p>
      <w:pPr>
        <w:spacing w:line="440" w:lineRule="exact"/>
        <w:ind w:firstLine="440" w:firstLineChars="200"/>
        <w:rPr>
          <w:rFonts w:hint="default" w:ascii="Times New Roman" w:hAnsi="Times New Roman" w:eastAsia="宋体"/>
          <w:color w:val="auto"/>
          <w:sz w:val="22"/>
          <w:szCs w:val="22"/>
          <w:highlight w:val="none"/>
          <w:lang w:val="en-US" w:eastAsia="zh-CN"/>
        </w:rPr>
      </w:pPr>
      <w:r>
        <w:rPr>
          <w:rFonts w:ascii="Times New Roman" w:hAnsi="Times New Roman"/>
          <w:color w:val="auto"/>
          <w:sz w:val="22"/>
          <w:szCs w:val="22"/>
          <w:highlight w:val="none"/>
        </w:rPr>
        <w:t>收费基准价=</w:t>
      </w:r>
      <w:r>
        <w:rPr>
          <w:rFonts w:hint="eastAsia" w:ascii="Times New Roman" w:hAnsi="Times New Roman"/>
          <w:color w:val="auto"/>
          <w:sz w:val="22"/>
          <w:szCs w:val="22"/>
          <w:highlight w:val="none"/>
          <w:lang w:val="en-US" w:eastAsia="zh-CN"/>
        </w:rPr>
        <w:t>1531.44*1*1*1*0.1255+1531.44*1.15*1.1*1*0.8745=1886.34万元。</w:t>
      </w:r>
    </w:p>
    <w:p>
      <w:pPr>
        <w:pStyle w:val="2"/>
        <w:rPr>
          <w:rFonts w:hint="default"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注：根</w:t>
      </w:r>
      <w:r>
        <w:rPr>
          <w:rFonts w:hint="eastAsia" w:ascii="Times New Roman" w:hAnsi="Times New Roman" w:cs="Times New Roman"/>
          <w:b/>
          <w:bCs/>
          <w:color w:val="auto"/>
          <w:kern w:val="2"/>
          <w:sz w:val="22"/>
          <w:szCs w:val="22"/>
          <w:highlight w:val="none"/>
          <w:lang w:val="en-US" w:eastAsia="zh-CN" w:bidi="ar-SA"/>
        </w:rPr>
        <w:t>参照</w:t>
      </w:r>
      <w:r>
        <w:rPr>
          <w:rFonts w:hint="eastAsia" w:ascii="Times New Roman" w:hAnsi="Times New Roman" w:eastAsia="宋体" w:cs="Times New Roman"/>
          <w:b/>
          <w:bCs/>
          <w:color w:val="auto"/>
          <w:kern w:val="2"/>
          <w:sz w:val="22"/>
          <w:szCs w:val="22"/>
          <w:highlight w:val="none"/>
          <w:lang w:val="en-US" w:eastAsia="zh-CN" w:bidi="ar-SA"/>
        </w:rPr>
        <w:t>发改价格[2007]670号文，确定系数如下本工程道路部分为市政公用工程，则</w:t>
      </w:r>
      <w:bookmarkStart w:id="61" w:name="OLE_LINK1"/>
      <w:r>
        <w:rPr>
          <w:rFonts w:hint="eastAsia" w:ascii="Times New Roman" w:hAnsi="Times New Roman" w:eastAsia="宋体" w:cs="Times New Roman"/>
          <w:b/>
          <w:bCs/>
          <w:color w:val="auto"/>
          <w:kern w:val="2"/>
          <w:sz w:val="22"/>
          <w:szCs w:val="22"/>
          <w:highlight w:val="none"/>
          <w:lang w:val="en-US" w:eastAsia="zh-CN" w:bidi="ar-SA"/>
        </w:rPr>
        <w:t>专业调整系数取1</w:t>
      </w:r>
      <w:bookmarkEnd w:id="61"/>
      <w:r>
        <w:rPr>
          <w:rFonts w:hint="eastAsia" w:ascii="Times New Roman" w:hAnsi="Times New Roman" w:eastAsia="宋体" w:cs="Times New Roman"/>
          <w:b/>
          <w:bCs/>
          <w:color w:val="auto"/>
          <w:kern w:val="2"/>
          <w:sz w:val="22"/>
          <w:szCs w:val="22"/>
          <w:highlight w:val="none"/>
          <w:lang w:val="en-US" w:eastAsia="zh-CN" w:bidi="ar-SA"/>
        </w:rPr>
        <w:t>；桥梁部分，专业调整系数取1.1。本工程主跨桥梁采用双层钢桁架拱桥结构，跨径408米，</w:t>
      </w:r>
      <w:r>
        <w:rPr>
          <w:rFonts w:ascii="Times New Roman" w:hAnsi="Times New Roman" w:eastAsia="宋体" w:cs="Times New Roman"/>
          <w:b/>
          <w:bCs/>
          <w:color w:val="auto"/>
          <w:kern w:val="2"/>
          <w:sz w:val="22"/>
          <w:szCs w:val="22"/>
          <w:highlight w:val="none"/>
          <w:lang w:val="en-US" w:eastAsia="zh-CN" w:bidi="ar-SA"/>
        </w:rPr>
        <w:t>复杂程度调整系数</w:t>
      </w:r>
      <w:r>
        <w:rPr>
          <w:rFonts w:hint="eastAsia" w:ascii="Times New Roman" w:hAnsi="Times New Roman" w:eastAsia="宋体" w:cs="Times New Roman"/>
          <w:b/>
          <w:bCs/>
          <w:color w:val="auto"/>
          <w:kern w:val="2"/>
          <w:sz w:val="22"/>
          <w:szCs w:val="22"/>
          <w:highlight w:val="none"/>
          <w:lang w:val="en-US" w:eastAsia="zh-CN" w:bidi="ar-SA"/>
        </w:rPr>
        <w:t>取1.15；城市道路工程，</w:t>
      </w:r>
      <w:r>
        <w:rPr>
          <w:rFonts w:ascii="Times New Roman" w:hAnsi="Times New Roman" w:eastAsia="宋体" w:cs="Times New Roman"/>
          <w:b/>
          <w:bCs/>
          <w:color w:val="auto"/>
          <w:kern w:val="2"/>
          <w:sz w:val="22"/>
          <w:szCs w:val="22"/>
          <w:highlight w:val="none"/>
          <w:lang w:val="en-US" w:eastAsia="zh-CN" w:bidi="ar-SA"/>
        </w:rPr>
        <w:t>复杂程度调整系数</w:t>
      </w:r>
      <w:r>
        <w:rPr>
          <w:rFonts w:hint="eastAsia" w:ascii="Times New Roman" w:hAnsi="Times New Roman" w:eastAsia="宋体" w:cs="Times New Roman"/>
          <w:b/>
          <w:bCs/>
          <w:color w:val="auto"/>
          <w:kern w:val="2"/>
          <w:sz w:val="22"/>
          <w:szCs w:val="22"/>
          <w:highlight w:val="none"/>
          <w:lang w:val="en-US" w:eastAsia="zh-CN" w:bidi="ar-SA"/>
        </w:rPr>
        <w:t>取1.0。</w:t>
      </w:r>
      <w:r>
        <w:rPr>
          <w:rFonts w:hint="eastAsia" w:ascii="Times New Roman" w:hAnsi="Times New Roman" w:cs="Times New Roman"/>
          <w:b/>
          <w:bCs/>
          <w:color w:val="auto"/>
          <w:kern w:val="2"/>
          <w:sz w:val="22"/>
          <w:szCs w:val="22"/>
          <w:highlight w:val="none"/>
          <w:lang w:val="en-US" w:eastAsia="zh-CN" w:bidi="ar-SA"/>
        </w:rPr>
        <w:t>本项目高程调整系数</w:t>
      </w:r>
      <w:r>
        <w:rPr>
          <w:rFonts w:hint="eastAsia" w:ascii="Times New Roman" w:hAnsi="Times New Roman" w:eastAsia="宋体" w:cs="Times New Roman"/>
          <w:b/>
          <w:bCs/>
          <w:color w:val="auto"/>
          <w:kern w:val="2"/>
          <w:sz w:val="22"/>
          <w:szCs w:val="22"/>
          <w:highlight w:val="none"/>
          <w:lang w:val="en-US" w:eastAsia="zh-CN" w:bidi="ar-SA"/>
        </w:rPr>
        <w:t>取1.0。</w:t>
      </w:r>
    </w:p>
    <w:p>
      <w:pPr>
        <w:widowControl/>
        <w:tabs>
          <w:tab w:val="left" w:pos="900"/>
          <w:tab w:val="left" w:pos="1440"/>
        </w:tabs>
        <w:spacing w:before="100" w:line="410" w:lineRule="exact"/>
        <w:ind w:firstLine="440" w:firstLineChars="200"/>
        <w:rPr>
          <w:rFonts w:hint="eastAsia" w:ascii="Times New Roman" w:hAnsi="Times New Roman" w:eastAsia="宋体"/>
          <w:b/>
          <w:color w:val="auto"/>
          <w:sz w:val="24"/>
          <w:highlight w:val="none"/>
          <w:lang w:eastAsia="zh-CN"/>
        </w:rPr>
      </w:pPr>
      <w:r>
        <w:rPr>
          <w:rFonts w:ascii="Times New Roman" w:hAnsi="Times New Roman"/>
          <w:color w:val="auto"/>
          <w:sz w:val="22"/>
          <w:szCs w:val="22"/>
          <w:highlight w:val="none"/>
        </w:rPr>
        <w:t>施工监理服务费最高投标限价=</w:t>
      </w:r>
      <w:r>
        <w:rPr>
          <w:rFonts w:hint="eastAsia" w:ascii="Times New Roman" w:hAnsi="Times New Roman"/>
          <w:b/>
          <w:bCs/>
          <w:color w:val="auto"/>
          <w:sz w:val="22"/>
          <w:szCs w:val="22"/>
          <w:highlight w:val="none"/>
          <w:u w:val="single"/>
          <w:lang w:val="en-US" w:eastAsia="zh-CN"/>
        </w:rPr>
        <w:t>1320</w:t>
      </w:r>
      <w:r>
        <w:rPr>
          <w:rFonts w:ascii="Times New Roman" w:hAnsi="Times New Roman"/>
          <w:color w:val="auto"/>
          <w:sz w:val="22"/>
          <w:szCs w:val="22"/>
          <w:highlight w:val="none"/>
        </w:rPr>
        <w:t>万元</w:t>
      </w:r>
      <w:r>
        <w:rPr>
          <w:rFonts w:hint="eastAsia" w:ascii="Times New Roman" w:hAnsi="Times New Roman"/>
          <w:b/>
          <w:bCs/>
          <w:color w:val="auto"/>
          <w:sz w:val="22"/>
          <w:szCs w:val="22"/>
          <w:highlight w:val="none"/>
          <w:lang w:eastAsia="zh-CN"/>
        </w:rPr>
        <w:t>（</w:t>
      </w:r>
      <w:r>
        <w:rPr>
          <w:rFonts w:ascii="Times New Roman" w:hAnsi="Times New Roman"/>
          <w:b/>
          <w:bCs/>
          <w:color w:val="auto"/>
          <w:sz w:val="22"/>
          <w:szCs w:val="22"/>
          <w:highlight w:val="none"/>
        </w:rPr>
        <w:t>投标人报价应在最高投标限价与最高投标限价下浮8%之间取值，超过范围的投标报价做废标处理。</w:t>
      </w:r>
      <w:r>
        <w:rPr>
          <w:rFonts w:hint="eastAsia" w:ascii="Times New Roman" w:hAnsi="Times New Roman"/>
          <w:b/>
          <w:bCs/>
          <w:color w:val="auto"/>
          <w:sz w:val="22"/>
          <w:szCs w:val="22"/>
          <w:highlight w:val="none"/>
          <w:lang w:eastAsia="zh-CN"/>
        </w:rPr>
        <w:t>）</w:t>
      </w:r>
    </w:p>
    <w:p>
      <w:pPr>
        <w:spacing w:line="440" w:lineRule="exact"/>
        <w:ind w:firstLine="440" w:firstLineChars="200"/>
        <w:rPr>
          <w:rFonts w:hint="eastAsia" w:ascii="Times New Roman" w:hAnsi="Times New Roman" w:eastAsia="宋体"/>
          <w:color w:val="auto"/>
          <w:sz w:val="22"/>
          <w:szCs w:val="22"/>
          <w:highlight w:val="none"/>
          <w:lang w:eastAsia="zh-CN"/>
        </w:rPr>
      </w:pPr>
      <w:r>
        <w:rPr>
          <w:rFonts w:ascii="Times New Roman" w:hAnsi="Times New Roman"/>
          <w:color w:val="auto"/>
          <w:sz w:val="22"/>
          <w:szCs w:val="22"/>
          <w:highlight w:val="none"/>
        </w:rPr>
        <w:t>注：本招标项目的监理费计费额（计费基数）各投标人统一暂按人民币</w:t>
      </w:r>
      <w:r>
        <w:rPr>
          <w:rFonts w:hint="eastAsia" w:ascii="Times New Roman" w:hAnsi="Times New Roman"/>
          <w:b/>
          <w:bCs/>
          <w:color w:val="auto"/>
          <w:sz w:val="22"/>
          <w:szCs w:val="22"/>
          <w:highlight w:val="none"/>
          <w:u w:val="single"/>
          <w:lang w:val="en-US" w:eastAsia="zh-CN"/>
        </w:rPr>
        <w:t>102027.10</w:t>
      </w:r>
      <w:r>
        <w:rPr>
          <w:rFonts w:ascii="Times New Roman" w:hAnsi="Times New Roman"/>
          <w:color w:val="auto"/>
          <w:sz w:val="22"/>
          <w:szCs w:val="22"/>
          <w:highlight w:val="none"/>
        </w:rPr>
        <w:t>万元考虑，最终的监理费按中标人投标文件中所载明的</w:t>
      </w:r>
      <w:r>
        <w:rPr>
          <w:rFonts w:hint="eastAsia" w:ascii="Times New Roman" w:hAnsi="Times New Roman"/>
          <w:color w:val="auto"/>
          <w:sz w:val="22"/>
          <w:szCs w:val="22"/>
          <w:highlight w:val="none"/>
        </w:rPr>
        <w:t>投标报价确定</w:t>
      </w:r>
      <w:r>
        <w:rPr>
          <w:rFonts w:ascii="Times New Roman" w:hAnsi="Times New Roman"/>
          <w:color w:val="auto"/>
          <w:sz w:val="22"/>
          <w:szCs w:val="22"/>
          <w:highlight w:val="none"/>
        </w:rPr>
        <w:t>，即：</w:t>
      </w:r>
      <w:r>
        <w:rPr>
          <w:rFonts w:hint="eastAsia" w:ascii="Times New Roman" w:hAnsi="Times New Roman"/>
          <w:color w:val="auto"/>
          <w:sz w:val="22"/>
          <w:szCs w:val="22"/>
          <w:highlight w:val="none"/>
          <w:lang w:eastAsia="zh-CN"/>
        </w:rPr>
        <w:t>中标价为本项目的包干价。</w:t>
      </w:r>
    </w:p>
    <w:p>
      <w:pPr>
        <w:widowControl/>
        <w:tabs>
          <w:tab w:val="left" w:pos="900"/>
          <w:tab w:val="left" w:pos="1440"/>
        </w:tabs>
        <w:spacing w:before="100" w:line="44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15.3本项目监理费的投标报价由投标人依据招标文件（含补充文件）、设计图纸（如有），并结合工程现场情况和自行制定的监理规划或监理大纲，参照</w:t>
      </w:r>
      <w:r>
        <w:rPr>
          <w:rFonts w:hint="eastAsia" w:ascii="Times New Roman" w:hAnsi="Times New Roman"/>
          <w:color w:val="auto"/>
          <w:sz w:val="22"/>
          <w:szCs w:val="22"/>
          <w:highlight w:val="none"/>
        </w:rPr>
        <w:t>财政评审中心及审计局确定的招标控制价进行计算</w:t>
      </w:r>
      <w:r>
        <w:rPr>
          <w:rFonts w:ascii="Times New Roman" w:hAnsi="Times New Roman"/>
          <w:color w:val="auto"/>
          <w:sz w:val="22"/>
          <w:szCs w:val="22"/>
          <w:highlight w:val="none"/>
        </w:rPr>
        <w:t>，但不得低于企业成本价。招标人将根据实际情况自主决定本项目如何分期分批组织建设，投标人应充分预计由此发生的任何费用，并在投标报价中予以考虑，招标人对投标人就此提出的任何索赔不予考虑。</w:t>
      </w:r>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24"/>
          <w:highlight w:val="none"/>
        </w:rPr>
      </w:pPr>
      <w:bookmarkStart w:id="62" w:name="_Toc509841381"/>
      <w:r>
        <w:rPr>
          <w:rFonts w:ascii="Times New Roman" w:hAnsi="Times New Roman" w:eastAsia="宋体"/>
          <w:bCs w:val="0"/>
          <w:color w:val="auto"/>
          <w:spacing w:val="0"/>
          <w:kern w:val="0"/>
          <w:sz w:val="24"/>
          <w:szCs w:val="24"/>
          <w:highlight w:val="none"/>
        </w:rPr>
        <w:t>16、投标货币</w:t>
      </w:r>
      <w:bookmarkEnd w:id="58"/>
      <w:bookmarkEnd w:id="59"/>
      <w:bookmarkEnd w:id="60"/>
      <w:bookmarkEnd w:id="62"/>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 xml:space="preserve">16.1本工程投标报价采用的币种为人民币。 </w:t>
      </w:r>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24"/>
          <w:highlight w:val="none"/>
        </w:rPr>
      </w:pPr>
      <w:bookmarkStart w:id="63" w:name="_Toc330493470"/>
      <w:bookmarkStart w:id="64" w:name="_Toc405313159"/>
      <w:bookmarkStart w:id="65" w:name="_Toc19904"/>
      <w:bookmarkStart w:id="66" w:name="_Toc509841382"/>
      <w:r>
        <w:rPr>
          <w:rFonts w:ascii="Times New Roman" w:hAnsi="Times New Roman" w:eastAsia="宋体"/>
          <w:bCs w:val="0"/>
          <w:color w:val="auto"/>
          <w:spacing w:val="0"/>
          <w:kern w:val="0"/>
          <w:sz w:val="24"/>
          <w:szCs w:val="24"/>
          <w:highlight w:val="none"/>
        </w:rPr>
        <w:t>17、投标有效期</w:t>
      </w:r>
      <w:bookmarkEnd w:id="63"/>
      <w:bookmarkEnd w:id="64"/>
      <w:bookmarkEnd w:id="65"/>
      <w:bookmarkEnd w:id="66"/>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17.1投标有效期见本须知前附表第12项所规定的期限，在此期限内，凡符合本招标文件要求的投标文件均保持有效。</w:t>
      </w:r>
    </w:p>
    <w:p>
      <w:pPr>
        <w:widowControl/>
        <w:tabs>
          <w:tab w:val="left" w:pos="900"/>
          <w:tab w:val="left" w:pos="1440"/>
        </w:tabs>
        <w:spacing w:before="100" w:line="430" w:lineRule="exact"/>
        <w:ind w:firstLine="440" w:firstLineChars="200"/>
        <w:rPr>
          <w:rFonts w:ascii="Times New Roman" w:hAnsi="Times New Roman"/>
          <w:color w:val="auto"/>
          <w:highlight w:val="none"/>
        </w:rPr>
      </w:pPr>
      <w:r>
        <w:rPr>
          <w:rFonts w:ascii="Times New Roman" w:hAnsi="Times New Roman"/>
          <w:color w:val="auto"/>
          <w:sz w:val="22"/>
          <w:szCs w:val="22"/>
          <w:highlight w:val="none"/>
        </w:rPr>
        <w:t>17.2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但需要相应的延长投标担保的有效期，在延长的投标有效期内本须知第18条关于投标担保的退还与没收的规定仍然适用。</w:t>
      </w:r>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67" w:name="_Toc405313160"/>
      <w:bookmarkStart w:id="68" w:name="_Toc22291"/>
      <w:bookmarkStart w:id="69" w:name="_Toc509841383"/>
      <w:r>
        <w:rPr>
          <w:rFonts w:ascii="Times New Roman" w:hAnsi="Times New Roman" w:eastAsia="宋体"/>
          <w:bCs w:val="0"/>
          <w:color w:val="auto"/>
          <w:spacing w:val="0"/>
          <w:kern w:val="0"/>
          <w:sz w:val="24"/>
          <w:szCs w:val="18"/>
          <w:highlight w:val="none"/>
        </w:rPr>
        <w:t>18、投标</w:t>
      </w:r>
      <w:bookmarkEnd w:id="67"/>
      <w:bookmarkEnd w:id="68"/>
      <w:bookmarkEnd w:id="69"/>
      <w:r>
        <w:rPr>
          <w:rFonts w:ascii="Times New Roman" w:hAnsi="Times New Roman" w:eastAsia="宋体"/>
          <w:bCs w:val="0"/>
          <w:color w:val="auto"/>
          <w:spacing w:val="0"/>
          <w:kern w:val="0"/>
          <w:sz w:val="24"/>
          <w:szCs w:val="18"/>
          <w:highlight w:val="none"/>
        </w:rPr>
        <w:t>担保</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本项目不需要投标人提供投标保证金，但投标文件中必须附上投标担保承诺。承诺格式详见第四章格式三。</w:t>
      </w:r>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70" w:name="_Toc509841384"/>
      <w:bookmarkStart w:id="71" w:name="_Toc31048"/>
      <w:bookmarkStart w:id="72" w:name="_Toc405313161"/>
      <w:r>
        <w:rPr>
          <w:rFonts w:ascii="Times New Roman" w:hAnsi="Times New Roman" w:eastAsia="宋体"/>
          <w:bCs w:val="0"/>
          <w:color w:val="auto"/>
          <w:spacing w:val="0"/>
          <w:kern w:val="0"/>
          <w:sz w:val="24"/>
          <w:szCs w:val="18"/>
          <w:highlight w:val="none"/>
        </w:rPr>
        <w:t>19、投标文件的份数与签署</w:t>
      </w:r>
      <w:bookmarkEnd w:id="70"/>
      <w:bookmarkEnd w:id="71"/>
      <w:bookmarkEnd w:id="72"/>
    </w:p>
    <w:p>
      <w:pPr>
        <w:widowControl/>
        <w:tabs>
          <w:tab w:val="left" w:pos="900"/>
          <w:tab w:val="left" w:pos="1440"/>
        </w:tabs>
        <w:spacing w:before="100" w:line="430" w:lineRule="exact"/>
        <w:ind w:firstLine="442" w:firstLineChars="200"/>
        <w:rPr>
          <w:rFonts w:ascii="Times New Roman" w:hAnsi="Times New Roman"/>
          <w:b/>
          <w:bCs/>
          <w:color w:val="auto"/>
          <w:sz w:val="22"/>
          <w:szCs w:val="22"/>
          <w:highlight w:val="none"/>
        </w:rPr>
      </w:pPr>
      <w:r>
        <w:rPr>
          <w:rFonts w:ascii="Times New Roman" w:hAnsi="Times New Roman"/>
          <w:b/>
          <w:bCs/>
          <w:color w:val="auto"/>
          <w:sz w:val="22"/>
          <w:szCs w:val="22"/>
          <w:highlight w:val="none"/>
        </w:rPr>
        <w:t>19.1投标文件的份数：</w:t>
      </w:r>
    </w:p>
    <w:p>
      <w:pPr>
        <w:widowControl/>
        <w:tabs>
          <w:tab w:val="left" w:pos="900"/>
          <w:tab w:val="left" w:pos="1440"/>
        </w:tabs>
        <w:spacing w:before="100" w:line="430" w:lineRule="exact"/>
        <w:rPr>
          <w:rFonts w:ascii="Times New Roman" w:hAnsi="Times New Roman"/>
          <w:color w:val="auto"/>
          <w:sz w:val="22"/>
          <w:szCs w:val="22"/>
          <w:highlight w:val="none"/>
        </w:rPr>
      </w:pPr>
      <w:r>
        <w:rPr>
          <w:rFonts w:ascii="Times New Roman" w:hAnsi="Times New Roman"/>
          <w:color w:val="auto"/>
          <w:sz w:val="22"/>
          <w:szCs w:val="22"/>
          <w:highlight w:val="none"/>
        </w:rPr>
        <w:t xml:space="preserve">    19.1.1纸质投标文件壹式肆份，正本壹份、副本叁份，正本和副本如有不一致之处，以正本为准。</w:t>
      </w:r>
    </w:p>
    <w:p>
      <w:pPr>
        <w:widowControl/>
        <w:tabs>
          <w:tab w:val="left" w:pos="900"/>
          <w:tab w:val="left" w:pos="1440"/>
        </w:tabs>
        <w:spacing w:before="100" w:line="430" w:lineRule="exact"/>
        <w:ind w:firstLine="442" w:firstLineChars="200"/>
        <w:rPr>
          <w:rFonts w:ascii="Times New Roman" w:hAnsi="Times New Roman"/>
          <w:b/>
          <w:bCs/>
          <w:color w:val="auto"/>
          <w:sz w:val="22"/>
          <w:szCs w:val="22"/>
          <w:highlight w:val="none"/>
        </w:rPr>
      </w:pPr>
      <w:r>
        <w:rPr>
          <w:rFonts w:ascii="Times New Roman" w:hAnsi="Times New Roman"/>
          <w:b/>
          <w:bCs/>
          <w:color w:val="auto"/>
          <w:sz w:val="22"/>
          <w:szCs w:val="22"/>
          <w:highlight w:val="none"/>
        </w:rPr>
        <w:t>19.2投标文件的签署</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组成投标文件的各项资料（按本须知第13条中所规定）均应遵守本条。</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19.2.1</w:t>
      </w:r>
      <w:r>
        <w:rPr>
          <w:rFonts w:ascii="Times New Roman" w:hAnsi="Times New Roman"/>
          <w:color w:val="auto"/>
          <w:sz w:val="22"/>
          <w:szCs w:val="22"/>
          <w:highlight w:val="none"/>
          <w:em w:val="dot"/>
        </w:rPr>
        <w:t>投标人应填写全称，投标文件封面上应标明“正本”或“副本”并加盖投标单位公章和法定代表人（或委托代理人）签字或盖章，否则视为不合格投标人</w:t>
      </w:r>
      <w:r>
        <w:rPr>
          <w:rFonts w:ascii="Times New Roman" w:hAnsi="Times New Roman"/>
          <w:color w:val="auto"/>
          <w:sz w:val="22"/>
          <w:szCs w:val="22"/>
          <w:highlight w:val="none"/>
        </w:rPr>
        <w:t>。</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19.2.2投标文件必须由投标人法定代表人或其委托代理人按照招标文件规定格式签署（按规定格式签署是指：格式中设有签署栏的，必须按格式要求签署）。由委托代理人签署的，应提交有效的投标文件签署授权委托书，投标文件签署授权委托书的实质性内容应符合要求，否则授权委托书无效。</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19.2.3除投标人对错误处须修改外，全套投标文件应无涂改或行间插字和增删。如有修改，修改处应由投标人加盖投标人公章或由投标文件签署人签字或盖章，否则其修改的内容无效。</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19.2.4投标文件因字迹潦草或表述不清所引起的后果由投标人自负。</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19.2.5电报、电话、传真形式的投标，招标人概不接受。</w:t>
      </w:r>
    </w:p>
    <w:p>
      <w:pPr>
        <w:widowControl/>
        <w:tabs>
          <w:tab w:val="left" w:pos="900"/>
          <w:tab w:val="left" w:pos="1440"/>
        </w:tabs>
        <w:spacing w:before="100" w:line="430" w:lineRule="exact"/>
        <w:ind w:firstLine="442" w:firstLineChars="200"/>
        <w:rPr>
          <w:rFonts w:ascii="Times New Roman" w:hAnsi="Times New Roman" w:eastAsia="黑体"/>
          <w:b/>
          <w:color w:val="auto"/>
          <w:sz w:val="22"/>
          <w:szCs w:val="22"/>
          <w:highlight w:val="none"/>
        </w:rPr>
      </w:pPr>
      <w:r>
        <w:rPr>
          <w:rFonts w:ascii="Times New Roman" w:hAnsi="Times New Roman" w:eastAsia="黑体"/>
          <w:b/>
          <w:color w:val="auto"/>
          <w:sz w:val="22"/>
          <w:szCs w:val="22"/>
          <w:highlight w:val="none"/>
        </w:rPr>
        <w:t>注：当投标人采用硬质或塑胶等外封面不便签署时，外封面可不签署，但应在投标文件内按外封面格式设置内封面并签署。</w:t>
      </w:r>
    </w:p>
    <w:p>
      <w:pPr>
        <w:pStyle w:val="7"/>
        <w:spacing w:before="100" w:line="430" w:lineRule="exact"/>
        <w:ind w:firstLine="0" w:firstLineChars="0"/>
        <w:jc w:val="center"/>
        <w:rPr>
          <w:rFonts w:ascii="Times New Roman" w:hAnsi="Times New Roman" w:eastAsia="宋体"/>
          <w:color w:val="auto"/>
          <w:sz w:val="28"/>
          <w:szCs w:val="28"/>
          <w:highlight w:val="none"/>
        </w:rPr>
      </w:pPr>
      <w:bookmarkStart w:id="73" w:name="_Toc509841385"/>
      <w:r>
        <w:rPr>
          <w:rFonts w:ascii="Times New Roman" w:hAnsi="Times New Roman" w:eastAsia="宋体"/>
          <w:color w:val="auto"/>
          <w:sz w:val="28"/>
          <w:szCs w:val="28"/>
          <w:highlight w:val="none"/>
        </w:rPr>
        <w:t>(四) 投标文件的提交</w:t>
      </w:r>
      <w:bookmarkEnd w:id="73"/>
    </w:p>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74" w:name="_Toc26568"/>
      <w:bookmarkStart w:id="75" w:name="_Toc509841386"/>
      <w:bookmarkStart w:id="76" w:name="_Toc405313162"/>
      <w:r>
        <w:rPr>
          <w:rFonts w:ascii="Times New Roman" w:hAnsi="Times New Roman" w:eastAsia="宋体"/>
          <w:bCs w:val="0"/>
          <w:color w:val="auto"/>
          <w:spacing w:val="0"/>
          <w:kern w:val="0"/>
          <w:sz w:val="24"/>
          <w:szCs w:val="18"/>
          <w:highlight w:val="none"/>
        </w:rPr>
        <w:t>20、投标文件的密封、标记</w:t>
      </w:r>
      <w:bookmarkEnd w:id="74"/>
      <w:bookmarkEnd w:id="75"/>
      <w:bookmarkEnd w:id="76"/>
    </w:p>
    <w:p>
      <w:pPr>
        <w:widowControl/>
        <w:tabs>
          <w:tab w:val="left" w:pos="900"/>
          <w:tab w:val="left" w:pos="1440"/>
        </w:tabs>
        <w:spacing w:before="100" w:line="430" w:lineRule="exact"/>
        <w:ind w:firstLine="440" w:firstLineChars="200"/>
        <w:rPr>
          <w:rFonts w:ascii="Times New Roman" w:hAnsi="Times New Roman"/>
          <w:b/>
          <w:bCs/>
          <w:color w:val="auto"/>
          <w:sz w:val="22"/>
          <w:szCs w:val="22"/>
          <w:highlight w:val="none"/>
          <w:u w:val="single"/>
        </w:rPr>
      </w:pPr>
      <w:r>
        <w:rPr>
          <w:rFonts w:ascii="Times New Roman" w:hAnsi="Times New Roman"/>
          <w:color w:val="auto"/>
          <w:sz w:val="22"/>
          <w:szCs w:val="22"/>
          <w:highlight w:val="none"/>
        </w:rPr>
        <w:t>20.1投标人应将纸质投标文件（即正本壹份、副本贰份）装入同一个外包密封袋中，密封袋应密封完好，</w:t>
      </w:r>
      <w:r>
        <w:rPr>
          <w:rFonts w:ascii="Times New Roman" w:hAnsi="Times New Roman"/>
          <w:b/>
          <w:bCs/>
          <w:color w:val="auto"/>
          <w:sz w:val="22"/>
          <w:szCs w:val="22"/>
          <w:highlight w:val="none"/>
          <w:u w:val="single"/>
        </w:rPr>
        <w:t>密封袋封口处加盖投标单位公章和法定代表人印章</w:t>
      </w:r>
      <w:r>
        <w:rPr>
          <w:rFonts w:ascii="Times New Roman" w:hAnsi="Times New Roman"/>
          <w:b/>
          <w:bCs/>
          <w:color w:val="auto"/>
          <w:sz w:val="22"/>
          <w:szCs w:val="22"/>
          <w:highlight w:val="none"/>
        </w:rPr>
        <w:t>。</w:t>
      </w:r>
    </w:p>
    <w:p>
      <w:pPr>
        <w:widowControl/>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20.2投标文件外包密封袋上均应作如下标记：</w:t>
      </w:r>
    </w:p>
    <w:tbl>
      <w:tblPr>
        <w:tblStyle w:val="18"/>
        <w:tblW w:w="930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5" w:hRule="atLeast"/>
        </w:trPr>
        <w:tc>
          <w:tcPr>
            <w:tcW w:w="9307" w:type="dxa"/>
          </w:tcPr>
          <w:p>
            <w:pPr>
              <w:tabs>
                <w:tab w:val="left" w:pos="900"/>
                <w:tab w:val="left" w:pos="1440"/>
              </w:tabs>
              <w:spacing w:before="100" w:line="430" w:lineRule="exact"/>
              <w:ind w:firstLine="220" w:firstLineChars="100"/>
              <w:rPr>
                <w:rFonts w:ascii="Times New Roman" w:hAnsi="Times New Roman"/>
                <w:color w:val="auto"/>
                <w:sz w:val="22"/>
                <w:szCs w:val="22"/>
                <w:highlight w:val="none"/>
              </w:rPr>
            </w:pPr>
            <w:r>
              <w:rPr>
                <w:rFonts w:ascii="Times New Roman" w:hAnsi="Times New Roman"/>
                <w:color w:val="auto"/>
                <w:sz w:val="22"/>
                <w:szCs w:val="22"/>
                <w:highlight w:val="none"/>
              </w:rPr>
              <w:t>收件人：湖南新泉工程造价咨询有限公司</w:t>
            </w:r>
          </w:p>
          <w:p>
            <w:pPr>
              <w:tabs>
                <w:tab w:val="left" w:pos="900"/>
                <w:tab w:val="left" w:pos="1440"/>
              </w:tabs>
              <w:spacing w:before="100" w:line="430" w:lineRule="exact"/>
              <w:ind w:firstLine="231" w:firstLineChars="105"/>
              <w:rPr>
                <w:rFonts w:ascii="Times New Roman" w:hAnsi="Times New Roman"/>
                <w:color w:val="auto"/>
                <w:sz w:val="22"/>
                <w:szCs w:val="22"/>
                <w:highlight w:val="none"/>
              </w:rPr>
            </w:pPr>
            <w:r>
              <w:rPr>
                <w:rFonts w:ascii="Times New Roman" w:hAnsi="Times New Roman"/>
                <w:color w:val="auto"/>
                <w:sz w:val="22"/>
                <w:szCs w:val="22"/>
                <w:highlight w:val="none"/>
              </w:rPr>
              <w:t>接收投标书地址：株洲市公共资源交易中心六楼开标室（株洲市天元区牛家牌路111号）</w:t>
            </w:r>
          </w:p>
          <w:p>
            <w:pPr>
              <w:tabs>
                <w:tab w:val="left" w:pos="900"/>
                <w:tab w:val="left" w:pos="1440"/>
              </w:tabs>
              <w:spacing w:before="100" w:line="430" w:lineRule="exact"/>
              <w:ind w:firstLine="231" w:firstLineChars="105"/>
              <w:rPr>
                <w:rFonts w:ascii="Times New Roman" w:hAnsi="Times New Roman"/>
                <w:color w:val="auto"/>
                <w:sz w:val="22"/>
                <w:szCs w:val="22"/>
                <w:highlight w:val="none"/>
              </w:rPr>
            </w:pPr>
            <w:r>
              <w:rPr>
                <w:rFonts w:ascii="Times New Roman" w:hAnsi="Times New Roman"/>
                <w:color w:val="auto"/>
                <w:sz w:val="22"/>
                <w:szCs w:val="22"/>
                <w:highlight w:val="none"/>
              </w:rPr>
              <w:t xml:space="preserve">招标编号： </w:t>
            </w:r>
          </w:p>
          <w:p>
            <w:pPr>
              <w:tabs>
                <w:tab w:val="left" w:pos="900"/>
                <w:tab w:val="left" w:pos="1440"/>
              </w:tabs>
              <w:spacing w:before="100" w:line="430" w:lineRule="exact"/>
              <w:ind w:left="1352" w:leftChars="120" w:hanging="1100" w:hangingChars="500"/>
              <w:rPr>
                <w:rFonts w:ascii="Times New Roman" w:hAnsi="Times New Roman"/>
                <w:color w:val="auto"/>
                <w:sz w:val="22"/>
                <w:szCs w:val="22"/>
                <w:highlight w:val="none"/>
              </w:rPr>
            </w:pPr>
            <w:r>
              <w:rPr>
                <w:rFonts w:ascii="Times New Roman" w:hAnsi="Times New Roman"/>
                <w:color w:val="auto"/>
                <w:sz w:val="22"/>
                <w:szCs w:val="22"/>
                <w:highlight w:val="none"/>
              </w:rPr>
              <w:t>文件名称：</w:t>
            </w:r>
            <w:r>
              <w:rPr>
                <w:rFonts w:ascii="Times New Roman" w:hAnsi="Times New Roman"/>
                <w:color w:val="auto"/>
                <w:sz w:val="22"/>
                <w:szCs w:val="22"/>
                <w:highlight w:val="none"/>
                <w:u w:val="single"/>
              </w:rPr>
              <w:t xml:space="preserve">                                      项目监理投标文件</w:t>
            </w:r>
          </w:p>
          <w:p>
            <w:pPr>
              <w:tabs>
                <w:tab w:val="left" w:pos="900"/>
                <w:tab w:val="left" w:pos="1440"/>
              </w:tabs>
              <w:spacing w:before="100" w:line="430" w:lineRule="exact"/>
              <w:ind w:firstLine="231" w:firstLineChars="105"/>
              <w:rPr>
                <w:rFonts w:ascii="Times New Roman" w:hAnsi="Times New Roman"/>
                <w:color w:val="auto"/>
                <w:sz w:val="22"/>
                <w:szCs w:val="22"/>
                <w:highlight w:val="none"/>
              </w:rPr>
            </w:pPr>
            <w:r>
              <w:rPr>
                <w:rFonts w:ascii="Times New Roman" w:hAnsi="Times New Roman"/>
                <w:color w:val="auto"/>
                <w:sz w:val="22"/>
                <w:szCs w:val="22"/>
                <w:highlight w:val="none"/>
              </w:rPr>
              <w:t>投标人：</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（盖章）</w:t>
            </w:r>
          </w:p>
          <w:p>
            <w:pPr>
              <w:tabs>
                <w:tab w:val="left" w:pos="900"/>
                <w:tab w:val="left" w:pos="1440"/>
              </w:tabs>
              <w:spacing w:before="100" w:line="430" w:lineRule="exact"/>
              <w:ind w:firstLine="231" w:firstLineChars="105"/>
              <w:rPr>
                <w:rFonts w:ascii="Times New Roman" w:hAnsi="Times New Roman"/>
                <w:color w:val="auto"/>
                <w:sz w:val="22"/>
                <w:szCs w:val="22"/>
                <w:highlight w:val="none"/>
              </w:rPr>
            </w:pPr>
            <w:r>
              <w:rPr>
                <w:rFonts w:ascii="Times New Roman" w:hAnsi="Times New Roman"/>
                <w:color w:val="auto"/>
                <w:sz w:val="22"/>
                <w:szCs w:val="22"/>
                <w:highlight w:val="none"/>
              </w:rPr>
              <w:t>法定代表人：</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（签字或盖章）</w:t>
            </w:r>
          </w:p>
          <w:p>
            <w:pPr>
              <w:tabs>
                <w:tab w:val="left" w:pos="900"/>
                <w:tab w:val="left" w:pos="1440"/>
              </w:tabs>
              <w:spacing w:before="100" w:line="430" w:lineRule="exact"/>
              <w:ind w:firstLine="231" w:firstLineChars="105"/>
              <w:rPr>
                <w:rFonts w:ascii="Times New Roman" w:hAnsi="Times New Roman"/>
                <w:color w:val="auto"/>
                <w:sz w:val="20"/>
                <w:szCs w:val="22"/>
                <w:highlight w:val="none"/>
              </w:rPr>
            </w:pPr>
            <w:r>
              <w:rPr>
                <w:rFonts w:ascii="Times New Roman" w:hAnsi="Times New Roman"/>
                <w:color w:val="auto"/>
                <w:sz w:val="22"/>
                <w:szCs w:val="22"/>
                <w:highlight w:val="none"/>
              </w:rPr>
              <w:t>在</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年</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月</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日北京时间</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时（即开标时间）前不得开封</w:t>
            </w:r>
          </w:p>
        </w:tc>
      </w:tr>
    </w:tbl>
    <w:p>
      <w:pPr>
        <w:pStyle w:val="5"/>
        <w:keepNext w:val="0"/>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77" w:name="_Toc509841387"/>
      <w:bookmarkStart w:id="78" w:name="_Toc405313163"/>
      <w:bookmarkStart w:id="79" w:name="_Toc9959"/>
      <w:r>
        <w:rPr>
          <w:rFonts w:ascii="Times New Roman" w:hAnsi="Times New Roman" w:eastAsia="宋体"/>
          <w:bCs w:val="0"/>
          <w:color w:val="auto"/>
          <w:spacing w:val="0"/>
          <w:kern w:val="0"/>
          <w:sz w:val="24"/>
          <w:szCs w:val="18"/>
          <w:highlight w:val="none"/>
        </w:rPr>
        <w:t>21、投标文件的提交</w:t>
      </w:r>
      <w:bookmarkEnd w:id="77"/>
      <w:bookmarkEnd w:id="78"/>
      <w:bookmarkEnd w:id="79"/>
    </w:p>
    <w:p>
      <w:pPr>
        <w:tabs>
          <w:tab w:val="left" w:pos="0"/>
          <w:tab w:val="left" w:pos="540"/>
          <w:tab w:val="left" w:pos="1440"/>
        </w:tabs>
        <w:spacing w:before="100" w:line="430" w:lineRule="exact"/>
        <w:ind w:right="25" w:rightChars="12" w:firstLine="530" w:firstLineChars="241"/>
        <w:rPr>
          <w:rFonts w:ascii="Times New Roman" w:hAnsi="Times New Roman"/>
          <w:color w:val="auto"/>
          <w:sz w:val="22"/>
          <w:szCs w:val="22"/>
          <w:highlight w:val="none"/>
        </w:rPr>
      </w:pPr>
      <w:r>
        <w:rPr>
          <w:rFonts w:ascii="Times New Roman" w:hAnsi="Times New Roman"/>
          <w:color w:val="auto"/>
          <w:sz w:val="22"/>
          <w:szCs w:val="22"/>
          <w:highlight w:val="none"/>
        </w:rPr>
        <w:t>21.1投标人应按前附表第17项规定的地点，于截止时间前提交投标文件。</w:t>
      </w:r>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80" w:name="_Toc405313164"/>
      <w:bookmarkStart w:id="81" w:name="_Toc509841388"/>
      <w:bookmarkStart w:id="82" w:name="_Toc1863"/>
      <w:r>
        <w:rPr>
          <w:rFonts w:ascii="Times New Roman" w:hAnsi="Times New Roman" w:eastAsia="宋体"/>
          <w:bCs w:val="0"/>
          <w:color w:val="auto"/>
          <w:spacing w:val="0"/>
          <w:kern w:val="0"/>
          <w:sz w:val="24"/>
          <w:szCs w:val="18"/>
          <w:highlight w:val="none"/>
        </w:rPr>
        <w:t>22、投标文件提交的截止时间</w:t>
      </w:r>
      <w:bookmarkEnd w:id="80"/>
      <w:bookmarkEnd w:id="81"/>
      <w:bookmarkEnd w:id="82"/>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22.1 投标文件的截止时间见本须知前附表第17项规定。</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22.2到投标截止时间止，招标人收到的投标文件少于3家的，招标人将依法重新组织招标。</w:t>
      </w:r>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83" w:name="_Toc509841389"/>
      <w:bookmarkStart w:id="84" w:name="_Toc22626"/>
      <w:bookmarkStart w:id="85" w:name="_Toc405313165"/>
      <w:r>
        <w:rPr>
          <w:rFonts w:ascii="Times New Roman" w:hAnsi="Times New Roman" w:eastAsia="宋体"/>
          <w:bCs w:val="0"/>
          <w:color w:val="auto"/>
          <w:spacing w:val="0"/>
          <w:kern w:val="0"/>
          <w:sz w:val="24"/>
          <w:szCs w:val="18"/>
          <w:highlight w:val="none"/>
        </w:rPr>
        <w:t>23、迟交的投标文件</w:t>
      </w:r>
      <w:bookmarkEnd w:id="83"/>
      <w:bookmarkEnd w:id="84"/>
      <w:bookmarkEnd w:id="85"/>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23.1 招标人在本须知第22条规定的投标截止时间以后收到的投标文件，将被拒绝并退回给投标人。</w:t>
      </w:r>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86" w:name="_Toc405313166"/>
      <w:bookmarkStart w:id="87" w:name="_Toc27661"/>
      <w:bookmarkStart w:id="88" w:name="_Toc509841390"/>
      <w:r>
        <w:rPr>
          <w:rFonts w:ascii="Times New Roman" w:hAnsi="Times New Roman" w:eastAsia="宋体"/>
          <w:bCs w:val="0"/>
          <w:color w:val="auto"/>
          <w:spacing w:val="0"/>
          <w:kern w:val="0"/>
          <w:sz w:val="24"/>
          <w:szCs w:val="18"/>
          <w:highlight w:val="none"/>
        </w:rPr>
        <w:t>24、投标文件的补充、修改与</w:t>
      </w:r>
      <w:bookmarkEnd w:id="86"/>
      <w:bookmarkEnd w:id="87"/>
      <w:r>
        <w:rPr>
          <w:rFonts w:ascii="Times New Roman" w:hAnsi="Times New Roman" w:eastAsia="宋体"/>
          <w:bCs w:val="0"/>
          <w:color w:val="auto"/>
          <w:spacing w:val="0"/>
          <w:kern w:val="0"/>
          <w:sz w:val="24"/>
          <w:szCs w:val="18"/>
          <w:highlight w:val="none"/>
        </w:rPr>
        <w:t>撤销</w:t>
      </w:r>
      <w:bookmarkEnd w:id="88"/>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24.1 投标人在提交投标文件以后，在规定的投标截止时间之前，可以书面形式补充修改已提交的投标文件，并以书面形式通知招标人。补充、修改的内容为投标文件的组成部分。</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24.2 投标人对投标文件的补充、修改，应按本须知第20条有关规定密封、标记和提交，并在投标文件密封袋上清楚标明“补充、修改”字样。</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24.3在投标截止时间之后，投标人不得补充、修改投标文件。</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24.4 在投标截止时间至投标有效期满之前，投标人不得</w:t>
      </w:r>
      <w:r>
        <w:rPr>
          <w:rFonts w:ascii="Times New Roman" w:hAnsi="Times New Roman"/>
          <w:bCs/>
          <w:color w:val="auto"/>
          <w:kern w:val="0"/>
          <w:sz w:val="24"/>
          <w:szCs w:val="18"/>
          <w:highlight w:val="none"/>
        </w:rPr>
        <w:t>撤销</w:t>
      </w:r>
      <w:r>
        <w:rPr>
          <w:rFonts w:ascii="Times New Roman" w:hAnsi="Times New Roman"/>
          <w:color w:val="auto"/>
          <w:sz w:val="22"/>
          <w:szCs w:val="22"/>
          <w:highlight w:val="none"/>
        </w:rPr>
        <w:t>其投标文件。</w:t>
      </w:r>
    </w:p>
    <w:p>
      <w:pPr>
        <w:pStyle w:val="7"/>
        <w:spacing w:before="100" w:line="430" w:lineRule="exact"/>
        <w:ind w:firstLine="0" w:firstLineChars="0"/>
        <w:jc w:val="center"/>
        <w:rPr>
          <w:rFonts w:ascii="Times New Roman" w:hAnsi="Times New Roman" w:eastAsia="宋体"/>
          <w:color w:val="auto"/>
          <w:sz w:val="28"/>
          <w:szCs w:val="28"/>
          <w:highlight w:val="none"/>
        </w:rPr>
      </w:pPr>
      <w:bookmarkStart w:id="89" w:name="_Toc3464"/>
      <w:bookmarkStart w:id="90" w:name="_Toc509841391"/>
      <w:r>
        <w:rPr>
          <w:rFonts w:ascii="Times New Roman" w:hAnsi="Times New Roman" w:eastAsia="宋体"/>
          <w:color w:val="auto"/>
          <w:sz w:val="28"/>
          <w:szCs w:val="28"/>
          <w:highlight w:val="none"/>
        </w:rPr>
        <w:t>（五）开标</w:t>
      </w:r>
      <w:bookmarkEnd w:id="89"/>
      <w:bookmarkEnd w:id="90"/>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91" w:name="_Toc405313168"/>
      <w:bookmarkStart w:id="92" w:name="_Toc21347"/>
      <w:bookmarkStart w:id="93" w:name="_Toc509841392"/>
      <w:r>
        <w:rPr>
          <w:rFonts w:ascii="Times New Roman" w:hAnsi="Times New Roman" w:eastAsia="宋体"/>
          <w:bCs w:val="0"/>
          <w:color w:val="auto"/>
          <w:spacing w:val="0"/>
          <w:kern w:val="0"/>
          <w:sz w:val="24"/>
          <w:szCs w:val="18"/>
          <w:highlight w:val="none"/>
        </w:rPr>
        <w:t>25、开标</w:t>
      </w:r>
      <w:bookmarkEnd w:id="91"/>
      <w:bookmarkEnd w:id="92"/>
      <w:bookmarkEnd w:id="93"/>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25.1招标人按本须知前附表第18项所规定的时间和地点公开开标，开标会将邀请有关部门进行监督，并请所有投标人派代表准时参加会议，投标人法定代表人或其委托代理人迟到或未到达开标会现场的，视为自动放弃，做不合格投标人处理。</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25.2</w:t>
      </w:r>
      <w:r>
        <w:rPr>
          <w:rFonts w:ascii="Times New Roman" w:hAnsi="Times New Roman"/>
          <w:color w:val="auto"/>
          <w:sz w:val="22"/>
          <w:szCs w:val="22"/>
          <w:highlight w:val="none"/>
          <w:u w:val="single"/>
        </w:rPr>
        <w:t>为便于开、评标过程中有关证件的核验与保管，建议各投标人将开标评标过程中要验证的证件、证明、文件等用文件袋（盒）包装，并在袋（盒）的外表面贴一资料清单，其中法定代表人资格证明书（或授权委托书及代理人身份证）原件单独用一小信封包装，再将信封放入上述文件袋（盒）内。小信封和文件袋（盒）均应标明投标单位名称。</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25.3 开标程序：</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25.3.1 开标由招标人主持；</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25.3.2 宣布开标纪律和注意事项；</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25.3.3公布在投标截止时间前递交投标文件的投标人名称；</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 xml:space="preserve">25.3.4 </w:t>
      </w:r>
      <w:r>
        <w:rPr>
          <w:rFonts w:ascii="Times New Roman" w:hAnsi="Times New Roman" w:eastAsia="黑体"/>
          <w:b/>
          <w:bCs/>
          <w:color w:val="auto"/>
          <w:sz w:val="22"/>
          <w:szCs w:val="22"/>
          <w:highlight w:val="none"/>
        </w:rPr>
        <w:t>当众验证投标人代表本人的有效身份证明文件（指法定代表人身份证明书及其身份证或其授权委托人的被授权委托书及身份证，委托人必须为拟任本项目的总监理工程师）</w:t>
      </w:r>
      <w:r>
        <w:rPr>
          <w:rFonts w:ascii="Times New Roman" w:hAnsi="Times New Roman" w:eastAsia="黑体"/>
          <w:b/>
          <w:bCs/>
          <w:color w:val="auto"/>
          <w:sz w:val="20"/>
          <w:szCs w:val="20"/>
          <w:highlight w:val="none"/>
        </w:rPr>
        <w:t>，</w:t>
      </w:r>
      <w:r>
        <w:rPr>
          <w:rFonts w:ascii="Times New Roman" w:hAnsi="Times New Roman" w:eastAsia="黑体"/>
          <w:b/>
          <w:bCs/>
          <w:color w:val="auto"/>
          <w:sz w:val="22"/>
          <w:szCs w:val="22"/>
          <w:highlight w:val="none"/>
        </w:rPr>
        <w:t>拟任项目总监注册证原件，并当场宣布验证结果，投标人开标代表未能在验证时提供真实、合法、有效的本人身份证明文件原件资料的，或未按照招标文件相关规定提交投标担保的，该投标人为不合格投标人；</w:t>
      </w:r>
    </w:p>
    <w:p>
      <w:pPr>
        <w:spacing w:line="430" w:lineRule="exact"/>
        <w:ind w:firstLine="440" w:firstLineChars="200"/>
        <w:rPr>
          <w:rFonts w:ascii="Times New Roman" w:hAnsi="Times New Roman" w:eastAsia="黑体"/>
          <w:b/>
          <w:color w:val="auto"/>
          <w:sz w:val="22"/>
          <w:szCs w:val="22"/>
          <w:highlight w:val="none"/>
        </w:rPr>
      </w:pPr>
      <w:r>
        <w:rPr>
          <w:rFonts w:ascii="Times New Roman" w:hAnsi="Times New Roman"/>
          <w:color w:val="auto"/>
          <w:sz w:val="22"/>
          <w:szCs w:val="22"/>
          <w:highlight w:val="none"/>
        </w:rPr>
        <w:t>25.3.5 宣布开标人、唱标人、记录人、监督人等有关人员姓名；</w:t>
      </w:r>
    </w:p>
    <w:p>
      <w:pPr>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25.3.6验证结束后由投标人或其推荐的代表检验投标文件的密封情况，经确认无误后，由有关工作人员当众拆封，宣读投标人名称、标段名称、投标担保的递交情况、投标报价、质量承诺、工期、服务周期、总监姓名等投标文件的主要内容，并记录在案；</w:t>
      </w:r>
    </w:p>
    <w:p>
      <w:pPr>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25.3.7投标人代表、招标人代表、监督人、记录人等有关人员在开标记录上签字确认</w:t>
      </w:r>
      <w:r>
        <w:rPr>
          <w:rFonts w:hint="eastAsia" w:ascii="Times New Roman" w:hAnsi="Times New Roman"/>
          <w:color w:val="auto"/>
          <w:sz w:val="22"/>
          <w:szCs w:val="22"/>
          <w:highlight w:val="none"/>
        </w:rPr>
        <w:t>。</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25.4招标人在招标文件要求提交投标文件的截止时间前收到的投标文件，开标时都应当众予以拆封、宣读。</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25.5 招标人对开标过程进行记录，并存档备查。</w:t>
      </w:r>
    </w:p>
    <w:p>
      <w:pPr>
        <w:spacing w:before="100" w:line="430" w:lineRule="exact"/>
        <w:ind w:firstLine="500"/>
        <w:rPr>
          <w:rFonts w:ascii="Times New Roman" w:hAnsi="Times New Roman"/>
          <w:color w:val="auto"/>
          <w:sz w:val="22"/>
          <w:szCs w:val="22"/>
          <w:highlight w:val="none"/>
          <w:u w:val="single"/>
        </w:rPr>
      </w:pPr>
      <w:r>
        <w:rPr>
          <w:rFonts w:ascii="Times New Roman" w:hAnsi="Times New Roman"/>
          <w:color w:val="auto"/>
          <w:sz w:val="22"/>
          <w:szCs w:val="22"/>
          <w:highlight w:val="none"/>
          <w:u w:val="single"/>
        </w:rPr>
        <w:t>25.6与评标有关的其他相关资料请投标人在开标时一并提交给招标代理人，进入评标程序后，不再接收与评标有关的证件、文件等任何资料。</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25.7</w:t>
      </w:r>
      <w:r>
        <w:rPr>
          <w:rFonts w:ascii="Times New Roman" w:hAnsi="Times New Roman"/>
          <w:b/>
          <w:bCs/>
          <w:color w:val="auto"/>
          <w:sz w:val="22"/>
          <w:szCs w:val="22"/>
          <w:highlight w:val="none"/>
        </w:rPr>
        <w:t>《投标人廉政承诺书》、《投标人承诺书》、《投标担保承诺书》需一式两份，一份装订在投标文件中，一份在开标前交招标代理工作人员。</w:t>
      </w:r>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94" w:name="_Toc405313169"/>
      <w:bookmarkStart w:id="95" w:name="_Toc509841393"/>
      <w:bookmarkStart w:id="96" w:name="_Toc16617"/>
      <w:r>
        <w:rPr>
          <w:rFonts w:ascii="Times New Roman" w:hAnsi="Times New Roman" w:eastAsia="宋体"/>
          <w:bCs w:val="0"/>
          <w:color w:val="auto"/>
          <w:spacing w:val="0"/>
          <w:kern w:val="0"/>
          <w:sz w:val="24"/>
          <w:szCs w:val="18"/>
          <w:highlight w:val="none"/>
        </w:rPr>
        <w:t>26、投标文件的有效性</w:t>
      </w:r>
      <w:bookmarkEnd w:id="94"/>
      <w:bookmarkEnd w:id="95"/>
      <w:bookmarkEnd w:id="96"/>
    </w:p>
    <w:p>
      <w:pPr>
        <w:spacing w:before="100" w:line="430" w:lineRule="exact"/>
        <w:ind w:firstLine="499"/>
        <w:rPr>
          <w:rFonts w:ascii="Times New Roman" w:hAnsi="Times New Roman"/>
          <w:color w:val="auto"/>
          <w:sz w:val="22"/>
          <w:szCs w:val="22"/>
          <w:highlight w:val="none"/>
        </w:rPr>
      </w:pPr>
      <w:r>
        <w:rPr>
          <w:rFonts w:ascii="Times New Roman" w:hAnsi="Times New Roman"/>
          <w:color w:val="auto"/>
          <w:sz w:val="22"/>
          <w:szCs w:val="22"/>
          <w:highlight w:val="none"/>
        </w:rPr>
        <w:t>26.1投标文件有下列情形之一的，招标人或招标代理人将不予受理：</w:t>
      </w:r>
    </w:p>
    <w:p>
      <w:pPr>
        <w:spacing w:before="100" w:line="430" w:lineRule="exact"/>
        <w:ind w:firstLine="499"/>
        <w:rPr>
          <w:rFonts w:ascii="Times New Roman" w:hAnsi="Times New Roman"/>
          <w:color w:val="auto"/>
          <w:sz w:val="22"/>
          <w:szCs w:val="22"/>
          <w:highlight w:val="none"/>
        </w:rPr>
      </w:pPr>
      <w:r>
        <w:rPr>
          <w:rFonts w:ascii="Times New Roman" w:hAnsi="Times New Roman"/>
          <w:color w:val="auto"/>
          <w:sz w:val="22"/>
          <w:szCs w:val="22"/>
          <w:highlight w:val="none"/>
        </w:rPr>
        <w:t>26.1.1逾期送达的或者未送达指定地点的；</w:t>
      </w:r>
    </w:p>
    <w:p>
      <w:pPr>
        <w:spacing w:before="100" w:line="430" w:lineRule="exact"/>
        <w:ind w:firstLine="499"/>
        <w:rPr>
          <w:rFonts w:ascii="Times New Roman" w:hAnsi="Times New Roman"/>
          <w:b/>
          <w:color w:val="auto"/>
          <w:sz w:val="22"/>
          <w:szCs w:val="22"/>
          <w:highlight w:val="none"/>
        </w:rPr>
      </w:pPr>
      <w:r>
        <w:rPr>
          <w:rFonts w:ascii="Times New Roman" w:hAnsi="Times New Roman"/>
          <w:color w:val="auto"/>
          <w:sz w:val="22"/>
          <w:szCs w:val="22"/>
          <w:highlight w:val="none"/>
        </w:rPr>
        <w:t>26.1.2未按招标文件要求密封的</w:t>
      </w:r>
      <w:r>
        <w:rPr>
          <w:rFonts w:ascii="Times New Roman" w:hAnsi="Times New Roman" w:eastAsia="黑体"/>
          <w:b/>
          <w:color w:val="auto"/>
          <w:sz w:val="22"/>
          <w:szCs w:val="22"/>
          <w:highlight w:val="none"/>
        </w:rPr>
        <w:t>。</w:t>
      </w:r>
    </w:p>
    <w:p>
      <w:pPr>
        <w:spacing w:before="100" w:line="430" w:lineRule="exact"/>
        <w:ind w:firstLine="500"/>
        <w:rPr>
          <w:rFonts w:ascii="Times New Roman" w:hAnsi="Times New Roman" w:eastAsia="黑体"/>
          <w:b/>
          <w:bCs/>
          <w:color w:val="auto"/>
          <w:sz w:val="22"/>
          <w:szCs w:val="22"/>
          <w:highlight w:val="none"/>
          <w:u w:val="single"/>
        </w:rPr>
      </w:pPr>
      <w:r>
        <w:rPr>
          <w:rFonts w:ascii="Times New Roman" w:hAnsi="Times New Roman" w:eastAsia="黑体"/>
          <w:b/>
          <w:bCs/>
          <w:color w:val="auto"/>
          <w:sz w:val="22"/>
          <w:szCs w:val="22"/>
          <w:highlight w:val="none"/>
          <w:u w:val="single"/>
        </w:rPr>
        <w:t>26.2投标文件有以下情形之一，评标委员会应当否决其投标：</w:t>
      </w:r>
    </w:p>
    <w:p>
      <w:pPr>
        <w:spacing w:before="100" w:line="430" w:lineRule="exact"/>
        <w:ind w:firstLine="500"/>
        <w:rPr>
          <w:rFonts w:ascii="Times New Roman" w:hAnsi="Times New Roman" w:eastAsia="黑体"/>
          <w:b/>
          <w:bCs/>
          <w:color w:val="auto"/>
          <w:sz w:val="22"/>
          <w:szCs w:val="22"/>
          <w:highlight w:val="none"/>
        </w:rPr>
      </w:pPr>
      <w:r>
        <w:rPr>
          <w:rFonts w:ascii="Times New Roman" w:hAnsi="Times New Roman" w:eastAsia="黑体"/>
          <w:b/>
          <w:bCs/>
          <w:color w:val="auto"/>
          <w:sz w:val="22"/>
          <w:szCs w:val="22"/>
          <w:highlight w:val="none"/>
        </w:rPr>
        <w:t>26.2.1投标文件的投标函和投标函附录未按规定格式签署的，或由委托代理人签署，但未随投标文件一起提交有效的“授权委托书”原件的；</w:t>
      </w:r>
    </w:p>
    <w:p>
      <w:pPr>
        <w:spacing w:before="100" w:line="430" w:lineRule="exact"/>
        <w:ind w:firstLine="500"/>
        <w:rPr>
          <w:rFonts w:ascii="Times New Roman" w:hAnsi="Times New Roman" w:eastAsia="黑体"/>
          <w:b/>
          <w:bCs/>
          <w:color w:val="auto"/>
          <w:sz w:val="22"/>
          <w:szCs w:val="22"/>
          <w:highlight w:val="none"/>
        </w:rPr>
      </w:pPr>
      <w:r>
        <w:rPr>
          <w:rFonts w:ascii="Times New Roman" w:hAnsi="Times New Roman" w:eastAsia="黑体"/>
          <w:b/>
          <w:bCs/>
          <w:color w:val="auto"/>
          <w:sz w:val="22"/>
          <w:szCs w:val="22"/>
          <w:highlight w:val="none"/>
        </w:rPr>
        <w:t>26.2.2未按规定的格式填写而致使关键内容不全的或关键字迹模糊、无法辨认的；</w:t>
      </w:r>
    </w:p>
    <w:p>
      <w:pPr>
        <w:spacing w:before="100" w:line="430" w:lineRule="exact"/>
        <w:ind w:firstLine="500"/>
        <w:rPr>
          <w:rFonts w:ascii="Times New Roman" w:hAnsi="Times New Roman" w:eastAsia="黑体"/>
          <w:b/>
          <w:bCs/>
          <w:color w:val="auto"/>
          <w:sz w:val="22"/>
          <w:szCs w:val="22"/>
          <w:highlight w:val="none"/>
        </w:rPr>
      </w:pPr>
      <w:r>
        <w:rPr>
          <w:rFonts w:ascii="Times New Roman" w:hAnsi="Times New Roman" w:eastAsia="黑体"/>
          <w:b/>
          <w:bCs/>
          <w:color w:val="auto"/>
          <w:sz w:val="22"/>
          <w:szCs w:val="22"/>
          <w:highlight w:val="none"/>
        </w:rPr>
        <w:t>26.2.3投标人递交两份或多份内容不同的投标文件，或在一份投标文件中对同一招标项目报有两个或多个报价且未声明哪一个有效的；</w:t>
      </w:r>
    </w:p>
    <w:p>
      <w:pPr>
        <w:spacing w:before="100" w:line="430" w:lineRule="exact"/>
        <w:ind w:firstLine="500"/>
        <w:rPr>
          <w:rFonts w:ascii="Times New Roman" w:hAnsi="Times New Roman" w:eastAsia="黑体"/>
          <w:b/>
          <w:bCs/>
          <w:color w:val="auto"/>
          <w:sz w:val="22"/>
          <w:szCs w:val="22"/>
          <w:highlight w:val="none"/>
        </w:rPr>
      </w:pPr>
      <w:r>
        <w:rPr>
          <w:rFonts w:ascii="Times New Roman" w:hAnsi="Times New Roman" w:eastAsia="黑体"/>
          <w:b/>
          <w:bCs/>
          <w:color w:val="auto"/>
          <w:sz w:val="22"/>
          <w:szCs w:val="22"/>
          <w:highlight w:val="none"/>
        </w:rPr>
        <w:t>26.2.4未按招标文件要求提交投标担保</w:t>
      </w:r>
      <w:r>
        <w:rPr>
          <w:rFonts w:hint="eastAsia" w:ascii="Times New Roman" w:hAnsi="Times New Roman" w:eastAsia="黑体"/>
          <w:b/>
          <w:bCs/>
          <w:color w:val="auto"/>
          <w:sz w:val="22"/>
          <w:szCs w:val="22"/>
          <w:highlight w:val="none"/>
        </w:rPr>
        <w:t>承诺书的</w:t>
      </w:r>
      <w:r>
        <w:rPr>
          <w:rFonts w:ascii="Times New Roman" w:hAnsi="Times New Roman" w:eastAsia="黑体"/>
          <w:b/>
          <w:bCs/>
          <w:color w:val="auto"/>
          <w:sz w:val="22"/>
          <w:szCs w:val="22"/>
          <w:highlight w:val="none"/>
        </w:rPr>
        <w:t>。</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26.3招标人将有效投标文件，送评标委员会进行评审、比较。</w:t>
      </w:r>
    </w:p>
    <w:p>
      <w:pPr>
        <w:pStyle w:val="7"/>
        <w:spacing w:before="100" w:line="430" w:lineRule="exact"/>
        <w:ind w:firstLine="0" w:firstLineChars="0"/>
        <w:jc w:val="center"/>
        <w:rPr>
          <w:rFonts w:ascii="Times New Roman" w:hAnsi="Times New Roman" w:eastAsia="宋体"/>
          <w:color w:val="auto"/>
          <w:sz w:val="28"/>
          <w:szCs w:val="28"/>
          <w:highlight w:val="none"/>
        </w:rPr>
      </w:pPr>
      <w:bookmarkStart w:id="97" w:name="_Toc509841394"/>
      <w:bookmarkStart w:id="98" w:name="_Toc9646"/>
      <w:r>
        <w:rPr>
          <w:rFonts w:ascii="Times New Roman" w:hAnsi="Times New Roman" w:eastAsia="宋体"/>
          <w:color w:val="auto"/>
          <w:sz w:val="28"/>
          <w:szCs w:val="28"/>
          <w:highlight w:val="none"/>
        </w:rPr>
        <w:t>（六）评   标</w:t>
      </w:r>
      <w:bookmarkEnd w:id="97"/>
      <w:bookmarkEnd w:id="98"/>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99" w:name="_Toc509841395"/>
      <w:bookmarkStart w:id="100" w:name="_Toc14338"/>
      <w:bookmarkStart w:id="101" w:name="_Toc405313171"/>
      <w:r>
        <w:rPr>
          <w:rFonts w:ascii="Times New Roman" w:hAnsi="Times New Roman" w:eastAsia="宋体"/>
          <w:bCs w:val="0"/>
          <w:color w:val="auto"/>
          <w:spacing w:val="0"/>
          <w:kern w:val="0"/>
          <w:sz w:val="24"/>
          <w:szCs w:val="18"/>
          <w:highlight w:val="none"/>
        </w:rPr>
        <w:t>27、评标委员会与评标</w:t>
      </w:r>
      <w:bookmarkEnd w:id="99"/>
      <w:bookmarkEnd w:id="100"/>
      <w:bookmarkEnd w:id="101"/>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27.1评标委员会由招标人依法组建，负责评标活动。</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27.2 开标结束后，开始评标，评标采用保密方式进行。</w:t>
      </w:r>
    </w:p>
    <w:p>
      <w:pPr>
        <w:spacing w:before="100" w:line="430" w:lineRule="exact"/>
        <w:ind w:firstLine="500"/>
        <w:rPr>
          <w:rFonts w:ascii="Times New Roman" w:hAnsi="Times New Roman"/>
          <w:color w:val="auto"/>
          <w:sz w:val="22"/>
          <w:szCs w:val="22"/>
          <w:highlight w:val="none"/>
          <w:u w:val="single"/>
        </w:rPr>
      </w:pPr>
      <w:r>
        <w:rPr>
          <w:rFonts w:ascii="Times New Roman" w:hAnsi="Times New Roman"/>
          <w:color w:val="auto"/>
          <w:sz w:val="22"/>
          <w:szCs w:val="22"/>
          <w:highlight w:val="none"/>
        </w:rPr>
        <w:t>27.3</w:t>
      </w:r>
      <w:r>
        <w:rPr>
          <w:rFonts w:ascii="Times New Roman" w:hAnsi="Times New Roman" w:eastAsia="黑体"/>
          <w:b/>
          <w:bCs/>
          <w:color w:val="auto"/>
          <w:sz w:val="22"/>
          <w:szCs w:val="22"/>
          <w:highlight w:val="none"/>
          <w:u w:val="single"/>
        </w:rPr>
        <w:t>评标过程中须查验投标须知第6.7款、第25.3.4款所述证件以及本招标文件投标须知、评标办法等章节中所述证件或文件的原件，其中：企业法人营业执照、企业资质证书（副本）、省外企业入湘登记备案资料（仅省外监理企业提供）、拟任项目总监理工程师注册证书及现场监理部关键岗位其他人员的岗位证书、总监理工程师的社保证明，投标人未能在验证时提供上述资料的真实、合法、有效原件资料的证件，该投标人为不合格投标人。同时还需查验企业通过相关认证情况的有关证明文件、企业信用等级情况有关证明文件、监理委托合同、业务手册、中标通知书及本招标文件评标办法中所述证件或文件的原件，请投标人在开标时将上述资料一并提交给招标代理人，未提交者，评标委员会按所述项目不予加分。</w:t>
      </w:r>
    </w:p>
    <w:p>
      <w:pPr>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27.4本工程评标标准及评标办法详见本招标文件第七章，并与招标文件各章节有关条款互为解释，互为补充。</w:t>
      </w:r>
    </w:p>
    <w:p>
      <w:pPr>
        <w:tabs>
          <w:tab w:val="left" w:pos="900"/>
          <w:tab w:val="left" w:pos="1440"/>
        </w:tabs>
        <w:spacing w:before="100" w:line="430" w:lineRule="exact"/>
        <w:ind w:firstLine="442" w:firstLineChars="200"/>
        <w:rPr>
          <w:rFonts w:ascii="Times New Roman" w:hAnsi="Times New Roman"/>
          <w:color w:val="auto"/>
          <w:sz w:val="22"/>
          <w:szCs w:val="22"/>
          <w:highlight w:val="none"/>
        </w:rPr>
      </w:pPr>
      <w:r>
        <w:rPr>
          <w:rFonts w:ascii="Times New Roman" w:hAnsi="Times New Roman"/>
          <w:b/>
          <w:bCs/>
          <w:color w:val="auto"/>
          <w:sz w:val="22"/>
          <w:szCs w:val="22"/>
          <w:highlight w:val="none"/>
        </w:rPr>
        <w:t>27.5</w:t>
      </w:r>
      <w:r>
        <w:rPr>
          <w:rFonts w:ascii="Times New Roman" w:hAnsi="Times New Roman"/>
          <w:color w:val="auto"/>
          <w:sz w:val="22"/>
          <w:szCs w:val="22"/>
          <w:highlight w:val="none"/>
        </w:rPr>
        <w:t xml:space="preserve"> </w:t>
      </w:r>
      <w:r>
        <w:rPr>
          <w:rFonts w:ascii="Times New Roman" w:hAnsi="Times New Roman"/>
          <w:b/>
          <w:bCs/>
          <w:color w:val="auto"/>
          <w:sz w:val="22"/>
          <w:szCs w:val="22"/>
          <w:highlight w:val="none"/>
          <w:em w:val="dot"/>
        </w:rPr>
        <w:t>经开、评标后，因废标或判为不合格投标人后使得合格投标人不足三家并造成招标明显缺乏竞争的，评标委员会可以否决全部投标，全部投标被否决的，招标人应重新组织招标</w:t>
      </w:r>
      <w:r>
        <w:rPr>
          <w:rFonts w:ascii="Times New Roman" w:hAnsi="Times New Roman"/>
          <w:b/>
          <w:bCs/>
          <w:color w:val="auto"/>
          <w:sz w:val="22"/>
          <w:szCs w:val="22"/>
          <w:highlight w:val="none"/>
        </w:rPr>
        <w:t>。</w:t>
      </w:r>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102" w:name="_Toc509841396"/>
      <w:bookmarkStart w:id="103" w:name="_Toc14063"/>
      <w:bookmarkStart w:id="104" w:name="_Toc405313172"/>
      <w:r>
        <w:rPr>
          <w:rFonts w:ascii="Times New Roman" w:hAnsi="Times New Roman" w:eastAsia="宋体"/>
          <w:bCs w:val="0"/>
          <w:color w:val="auto"/>
          <w:spacing w:val="0"/>
          <w:kern w:val="0"/>
          <w:sz w:val="24"/>
          <w:szCs w:val="18"/>
          <w:highlight w:val="none"/>
        </w:rPr>
        <w:t>28、评标过程的保密</w:t>
      </w:r>
      <w:bookmarkEnd w:id="102"/>
      <w:bookmarkEnd w:id="103"/>
      <w:bookmarkEnd w:id="104"/>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28.1开标后，直至授予中标人合同为止,凡属于对投标文件的审查、澄清、评价和比较的有关资料以及中标候选人的推荐情况，与评标有关的其他任何情况均应严格保密。</w:t>
      </w:r>
    </w:p>
    <w:p>
      <w:pPr>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28.2 在投标文件的评审和比较、中标候选人推荐以及授予合同的过程中，投标人向招标人和评标委员会施加影响的任何行为，都将会导致其投标资格被取消。</w:t>
      </w:r>
    </w:p>
    <w:p>
      <w:pPr>
        <w:tabs>
          <w:tab w:val="left" w:pos="900"/>
          <w:tab w:val="left" w:pos="1440"/>
        </w:tabs>
        <w:spacing w:before="100" w:line="43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28.3中标人确定后，招标人不对未中标人就评标过程以及未能中标原因做出任何解释。未中标人不得向评标委员会组成人员或其他有关人员索问评标过程的情况和材料。</w:t>
      </w:r>
    </w:p>
    <w:p>
      <w:pPr>
        <w:pStyle w:val="7"/>
        <w:spacing w:before="100" w:line="430" w:lineRule="exact"/>
        <w:ind w:firstLine="0" w:firstLineChars="0"/>
        <w:jc w:val="center"/>
        <w:rPr>
          <w:rFonts w:ascii="Times New Roman" w:hAnsi="Times New Roman" w:eastAsia="宋体"/>
          <w:color w:val="auto"/>
          <w:sz w:val="28"/>
          <w:szCs w:val="28"/>
          <w:highlight w:val="none"/>
        </w:rPr>
      </w:pPr>
      <w:bookmarkStart w:id="105" w:name="_Toc509841397"/>
      <w:bookmarkStart w:id="106" w:name="_Toc26534"/>
      <w:r>
        <w:rPr>
          <w:rFonts w:ascii="Times New Roman" w:hAnsi="Times New Roman" w:eastAsia="宋体"/>
          <w:color w:val="auto"/>
          <w:sz w:val="28"/>
          <w:szCs w:val="28"/>
          <w:highlight w:val="none"/>
        </w:rPr>
        <w:t>（七）合同的授予</w:t>
      </w:r>
      <w:bookmarkEnd w:id="105"/>
      <w:bookmarkEnd w:id="106"/>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107" w:name="_Toc405313174"/>
      <w:bookmarkStart w:id="108" w:name="_Toc14864"/>
      <w:bookmarkStart w:id="109" w:name="_Toc509841398"/>
      <w:r>
        <w:rPr>
          <w:rFonts w:ascii="Times New Roman" w:hAnsi="Times New Roman" w:eastAsia="宋体"/>
          <w:bCs w:val="0"/>
          <w:color w:val="auto"/>
          <w:spacing w:val="0"/>
          <w:kern w:val="0"/>
          <w:sz w:val="24"/>
          <w:szCs w:val="18"/>
          <w:highlight w:val="none"/>
        </w:rPr>
        <w:t>29、合同授予标准</w:t>
      </w:r>
      <w:bookmarkEnd w:id="107"/>
      <w:bookmarkEnd w:id="108"/>
      <w:bookmarkEnd w:id="109"/>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29.1招标人将把本招标项目的监理合同授予按本招标文件第七章规定所确定的中标人。</w:t>
      </w:r>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110" w:name="_Toc509841399"/>
      <w:bookmarkStart w:id="111" w:name="_Toc405313175"/>
      <w:bookmarkStart w:id="112" w:name="_Toc26140"/>
      <w:r>
        <w:rPr>
          <w:rFonts w:ascii="Times New Roman" w:hAnsi="Times New Roman" w:eastAsia="宋体"/>
          <w:bCs w:val="0"/>
          <w:color w:val="auto"/>
          <w:spacing w:val="0"/>
          <w:kern w:val="0"/>
          <w:sz w:val="24"/>
          <w:szCs w:val="18"/>
          <w:highlight w:val="none"/>
        </w:rPr>
        <w:t>30、招标人拒绝投标的权力</w:t>
      </w:r>
      <w:bookmarkEnd w:id="110"/>
      <w:bookmarkEnd w:id="111"/>
      <w:bookmarkEnd w:id="112"/>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30.1招标人不承诺将合同授予报价最低的投标人。招标人在发出中标通知书前，有权依据评标委员会的评标报告拒绝不合格的投标。</w:t>
      </w:r>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113" w:name="_Toc17730"/>
      <w:bookmarkStart w:id="114" w:name="_Toc405313176"/>
      <w:bookmarkStart w:id="115" w:name="_Toc509841400"/>
      <w:r>
        <w:rPr>
          <w:rFonts w:ascii="Times New Roman" w:hAnsi="Times New Roman" w:eastAsia="宋体"/>
          <w:bCs w:val="0"/>
          <w:color w:val="auto"/>
          <w:spacing w:val="0"/>
          <w:kern w:val="0"/>
          <w:sz w:val="24"/>
          <w:szCs w:val="18"/>
          <w:highlight w:val="none"/>
        </w:rPr>
        <w:t>31、中标通知书</w:t>
      </w:r>
      <w:bookmarkEnd w:id="113"/>
      <w:bookmarkEnd w:id="114"/>
      <w:bookmarkEnd w:id="115"/>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31.1评标结束后，招标代理人将中标结果在《中国采购与招标网》、《湖南省招标投标监管网》、《株洲市公共资源交易中心（官方网站）》，公示期为3个工作日。公示期间</w:t>
      </w:r>
      <w:r>
        <w:rPr>
          <w:rFonts w:ascii="Times New Roman" w:hAnsi="Times New Roman"/>
          <w:bCs/>
          <w:color w:val="auto"/>
          <w:sz w:val="22"/>
          <w:szCs w:val="22"/>
          <w:highlight w:val="none"/>
        </w:rPr>
        <w:t>株洲市城市管理和行政执法局</w:t>
      </w:r>
      <w:r>
        <w:rPr>
          <w:rFonts w:ascii="Times New Roman" w:hAnsi="Times New Roman"/>
          <w:color w:val="auto"/>
          <w:sz w:val="22"/>
          <w:szCs w:val="22"/>
          <w:highlight w:val="none"/>
        </w:rPr>
        <w:t>将按照《工程建设项目招标投标活投诉处理办法》的有关规定，受理有关单位的书面投诉。</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31.2公示期满后，招标代理人将向中标人发出经招标人签发、监管部门备案的中标通知书，并将中标结果以电话形式通知所有未中标的投标人。</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31.3 中标人确定后，招标代理人将于15日内向工程所在地的招投标行政主管部门提交监理招标情况的书面报告。</w:t>
      </w:r>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116" w:name="_Toc21089"/>
      <w:bookmarkStart w:id="117" w:name="_Toc405313177"/>
      <w:bookmarkStart w:id="118" w:name="_Toc509841401"/>
      <w:r>
        <w:rPr>
          <w:rFonts w:ascii="Times New Roman" w:hAnsi="Times New Roman" w:eastAsia="宋体"/>
          <w:bCs w:val="0"/>
          <w:color w:val="auto"/>
          <w:spacing w:val="0"/>
          <w:kern w:val="0"/>
          <w:sz w:val="24"/>
          <w:szCs w:val="18"/>
          <w:highlight w:val="none"/>
        </w:rPr>
        <w:t>32、合同协议书的签订</w:t>
      </w:r>
      <w:bookmarkEnd w:id="116"/>
      <w:bookmarkEnd w:id="117"/>
      <w:bookmarkEnd w:id="118"/>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32.1 招标人与中标人将于中标通知书发出之日起30日内，按照招标文件和中标人的投标文件订立书面委托合同。</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32.2 中标人如无正当理由不按本投标须知第32.1款的规定与招标人订立合同，则招标人将废除授标，给招标人造成的损失，应当予以赔偿，同时依法承担相应法律责任。招标人无正当理由不与中标人签订监理合同的，招标人将对投标人的损失承担赔偿责任。</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32.3 中标人应当按照合同约定履行义务，完成中标项目监理，不得将中标项目违法转包给他人。</w:t>
      </w:r>
    </w:p>
    <w:p>
      <w:pPr>
        <w:spacing w:before="100" w:line="430" w:lineRule="exact"/>
        <w:ind w:firstLine="500"/>
        <w:rPr>
          <w:rFonts w:ascii="Times New Roman" w:hAnsi="Times New Roman"/>
          <w:color w:val="auto"/>
          <w:sz w:val="22"/>
          <w:szCs w:val="22"/>
          <w:highlight w:val="none"/>
        </w:rPr>
      </w:pPr>
      <w:r>
        <w:rPr>
          <w:rFonts w:ascii="Times New Roman" w:hAnsi="Times New Roman"/>
          <w:color w:val="auto"/>
          <w:sz w:val="22"/>
          <w:szCs w:val="22"/>
          <w:highlight w:val="none"/>
        </w:rPr>
        <w:t>32.4投标文件中明确的总监理工程师及专业监理工程师施工过程中必须参加全过程工作，原则上不得更换，特殊情况需更换人员必须以书面形式报招标人批准，否则招标人有权终止合同，中标人承担由此造成的一切经济损失及后果。</w:t>
      </w:r>
    </w:p>
    <w:p>
      <w:pPr>
        <w:pStyle w:val="5"/>
        <w:keepLines w:val="0"/>
        <w:pageBreakBefore w:val="0"/>
        <w:widowControl/>
        <w:autoSpaceDE/>
        <w:autoSpaceDN/>
        <w:adjustRightInd/>
        <w:spacing w:before="156" w:beforeLines="50" w:after="0" w:line="430" w:lineRule="exact"/>
        <w:jc w:val="both"/>
        <w:rPr>
          <w:rFonts w:ascii="Times New Roman" w:hAnsi="Times New Roman" w:eastAsia="宋体"/>
          <w:bCs w:val="0"/>
          <w:color w:val="auto"/>
          <w:spacing w:val="0"/>
          <w:kern w:val="0"/>
          <w:sz w:val="24"/>
          <w:szCs w:val="18"/>
          <w:highlight w:val="none"/>
        </w:rPr>
      </w:pPr>
      <w:bookmarkStart w:id="119" w:name="_Toc405313178"/>
      <w:bookmarkStart w:id="120" w:name="_Toc28159"/>
      <w:bookmarkStart w:id="121" w:name="_Toc509841402"/>
      <w:r>
        <w:rPr>
          <w:rFonts w:ascii="Times New Roman" w:hAnsi="Times New Roman" w:eastAsia="宋体"/>
          <w:bCs w:val="0"/>
          <w:color w:val="auto"/>
          <w:spacing w:val="0"/>
          <w:kern w:val="0"/>
          <w:sz w:val="24"/>
          <w:szCs w:val="18"/>
          <w:highlight w:val="none"/>
        </w:rPr>
        <w:t>33、其他</w:t>
      </w:r>
      <w:bookmarkEnd w:id="119"/>
      <w:bookmarkEnd w:id="120"/>
      <w:bookmarkEnd w:id="121"/>
    </w:p>
    <w:p>
      <w:pPr>
        <w:spacing w:before="100" w:line="430" w:lineRule="exact"/>
        <w:ind w:firstLine="500"/>
        <w:rPr>
          <w:rFonts w:ascii="Times New Roman" w:hAnsi="Times New Roman"/>
          <w:bCs/>
          <w:color w:val="auto"/>
          <w:kern w:val="0"/>
          <w:sz w:val="40"/>
          <w:szCs w:val="18"/>
          <w:highlight w:val="none"/>
        </w:rPr>
      </w:pPr>
      <w:r>
        <w:rPr>
          <w:rFonts w:ascii="Times New Roman" w:hAnsi="Times New Roman"/>
          <w:color w:val="auto"/>
          <w:sz w:val="22"/>
          <w:szCs w:val="22"/>
          <w:highlight w:val="none"/>
        </w:rPr>
        <w:t>33.1投标文件的退还时间详见本须知前附表第20项，逾期未退还的，招标代理人不再对其承担保管责任。</w:t>
      </w:r>
    </w:p>
    <w:p>
      <w:pPr>
        <w:pStyle w:val="5"/>
        <w:keepLines w:val="0"/>
        <w:pageBreakBefore w:val="0"/>
        <w:widowControl/>
        <w:autoSpaceDE/>
        <w:autoSpaceDN/>
        <w:adjustRightInd/>
        <w:spacing w:before="0" w:after="0" w:line="240" w:lineRule="atLeast"/>
        <w:rPr>
          <w:rFonts w:ascii="Times New Roman" w:hAnsi="Times New Roman" w:eastAsia="宋体"/>
          <w:bCs w:val="0"/>
          <w:color w:val="auto"/>
          <w:spacing w:val="0"/>
          <w:kern w:val="0"/>
          <w:sz w:val="40"/>
          <w:szCs w:val="18"/>
          <w:highlight w:val="none"/>
        </w:rPr>
      </w:pPr>
      <w:bookmarkStart w:id="122" w:name="_Toc509841406"/>
      <w:r>
        <w:rPr>
          <w:rFonts w:ascii="Times New Roman" w:hAnsi="Times New Roman" w:eastAsia="宋体"/>
          <w:bCs w:val="0"/>
          <w:color w:val="auto"/>
          <w:spacing w:val="0"/>
          <w:kern w:val="0"/>
          <w:sz w:val="40"/>
          <w:szCs w:val="18"/>
          <w:highlight w:val="none"/>
        </w:rPr>
        <w:br w:type="page"/>
      </w:r>
    </w:p>
    <w:p>
      <w:pPr>
        <w:pStyle w:val="5"/>
        <w:keepLines w:val="0"/>
        <w:pageBreakBefore w:val="0"/>
        <w:widowControl/>
        <w:autoSpaceDE/>
        <w:autoSpaceDN/>
        <w:adjustRightInd/>
        <w:spacing w:before="0" w:after="0" w:line="240" w:lineRule="atLeast"/>
        <w:rPr>
          <w:rFonts w:ascii="Times New Roman" w:hAnsi="Times New Roman"/>
          <w:bCs w:val="0"/>
          <w:color w:val="auto"/>
          <w:sz w:val="28"/>
          <w:szCs w:val="32"/>
          <w:highlight w:val="none"/>
        </w:rPr>
      </w:pPr>
      <w:r>
        <w:rPr>
          <w:rFonts w:ascii="Times New Roman" w:hAnsi="Times New Roman" w:eastAsia="宋体"/>
          <w:bCs w:val="0"/>
          <w:color w:val="auto"/>
          <w:spacing w:val="0"/>
          <w:kern w:val="0"/>
          <w:sz w:val="40"/>
          <w:szCs w:val="18"/>
          <w:highlight w:val="none"/>
        </w:rPr>
        <w:t>第三章   合同条款</w:t>
      </w:r>
      <w:bookmarkEnd w:id="122"/>
    </w:p>
    <w:p>
      <w:pPr>
        <w:rPr>
          <w:rFonts w:ascii="Times New Roman" w:hAnsi="Times New Roman"/>
          <w:bCs/>
          <w:color w:val="auto"/>
          <w:kern w:val="0"/>
          <w:sz w:val="40"/>
          <w:szCs w:val="18"/>
          <w:highlight w:val="none"/>
        </w:rPr>
      </w:pPr>
    </w:p>
    <w:p>
      <w:pPr>
        <w:jc w:val="center"/>
        <w:rPr>
          <w:rFonts w:ascii="Times New Roman" w:hAnsi="Times New Roman"/>
          <w:bCs/>
          <w:color w:val="auto"/>
          <w:kern w:val="0"/>
          <w:sz w:val="36"/>
          <w:szCs w:val="16"/>
          <w:highlight w:val="none"/>
        </w:rPr>
      </w:pPr>
      <w:r>
        <w:rPr>
          <w:rFonts w:ascii="Times New Roman" w:hAnsi="Times New Roman"/>
          <w:bCs/>
          <w:color w:val="auto"/>
          <w:kern w:val="0"/>
          <w:sz w:val="36"/>
          <w:szCs w:val="16"/>
          <w:highlight w:val="none"/>
        </w:rPr>
        <w:t>（GF－2012－0202）</w:t>
      </w:r>
    </w:p>
    <w:p>
      <w:pPr>
        <w:rPr>
          <w:rFonts w:ascii="Times New Roman" w:hAnsi="Times New Roman" w:eastAsiaTheme="minorEastAsia"/>
          <w:color w:val="auto"/>
          <w:szCs w:val="28"/>
          <w:highlight w:val="none"/>
        </w:rPr>
      </w:pPr>
      <w:r>
        <w:rPr>
          <w:rFonts w:ascii="Times New Roman" w:hAnsi="Times New Roman"/>
          <w:bCs/>
          <w:color w:val="auto"/>
          <w:kern w:val="0"/>
          <w:sz w:val="40"/>
          <w:szCs w:val="18"/>
          <w:highlight w:val="none"/>
        </w:rPr>
        <w:br w:type="page"/>
      </w:r>
      <w:r>
        <w:rPr>
          <w:rFonts w:ascii="Times New Roman" w:hAnsi="Times New Roman" w:eastAsiaTheme="minorEastAsia"/>
          <w:color w:val="auto"/>
          <w:sz w:val="28"/>
          <w:szCs w:val="28"/>
          <w:highlight w:val="none"/>
        </w:rPr>
        <w:drawing>
          <wp:anchor distT="0" distB="0" distL="114300" distR="114300" simplePos="0" relativeHeight="251659264" behindDoc="1" locked="0" layoutInCell="1" allowOverlap="1">
            <wp:simplePos x="0" y="0"/>
            <wp:positionH relativeFrom="column">
              <wp:posOffset>4514215</wp:posOffset>
            </wp:positionH>
            <wp:positionV relativeFrom="paragraph">
              <wp:posOffset>-12700</wp:posOffset>
            </wp:positionV>
            <wp:extent cx="1104265" cy="497840"/>
            <wp:effectExtent l="19050" t="0" r="635" b="0"/>
            <wp:wrapTight wrapText="bothSides">
              <wp:wrapPolygon>
                <wp:start x="-373" y="0"/>
                <wp:lineTo x="-373" y="20663"/>
                <wp:lineTo x="21612" y="20663"/>
                <wp:lineTo x="21612" y="0"/>
                <wp:lineTo x="-373" y="0"/>
              </wp:wrapPolygon>
            </wp:wrapTight>
            <wp:docPr id="15" name="图片 0" descr="公司标志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0" descr="公司标志_看图王.png"/>
                    <pic:cNvPicPr>
                      <a:picLocks noChangeAspect="1"/>
                    </pic:cNvPicPr>
                  </pic:nvPicPr>
                  <pic:blipFill>
                    <a:blip r:embed="rId16" cstate="print"/>
                    <a:stretch>
                      <a:fillRect/>
                    </a:stretch>
                  </pic:blipFill>
                  <pic:spPr>
                    <a:xfrm>
                      <a:off x="0" y="0"/>
                      <a:ext cx="1104265" cy="497840"/>
                    </a:xfrm>
                    <a:prstGeom prst="rect">
                      <a:avLst/>
                    </a:prstGeom>
                  </pic:spPr>
                </pic:pic>
              </a:graphicData>
            </a:graphic>
          </wp:anchor>
        </w:drawing>
      </w:r>
      <w:r>
        <w:rPr>
          <w:rFonts w:ascii="Times New Roman" w:hAnsi="Times New Roman" w:eastAsiaTheme="minorEastAsia"/>
          <w:color w:val="auto"/>
          <w:sz w:val="28"/>
          <w:highlight w:val="none"/>
        </w:rPr>
        <w:t>合同编号:</w:t>
      </w:r>
      <w:r>
        <w:rPr>
          <w:rFonts w:ascii="Times New Roman" w:hAnsi="Times New Roman" w:eastAsiaTheme="minorEastAsia"/>
          <w:color w:val="auto"/>
          <w:kern w:val="0"/>
          <w:sz w:val="28"/>
          <w:szCs w:val="21"/>
          <w:highlight w:val="none"/>
        </w:rPr>
        <w:t xml:space="preserve"> CFQSTSJ-JL-2019**-</w:t>
      </w:r>
    </w:p>
    <w:p>
      <w:pPr>
        <w:rPr>
          <w:rFonts w:ascii="Times New Roman" w:hAnsi="Times New Roman"/>
          <w:color w:val="auto"/>
          <w:sz w:val="24"/>
          <w:highlight w:val="none"/>
        </w:rPr>
      </w:pPr>
    </w:p>
    <w:p>
      <w:pPr>
        <w:rPr>
          <w:rFonts w:ascii="Times New Roman" w:hAnsi="Times New Roman" w:eastAsia="方正大标宋简体"/>
          <w:b/>
          <w:bCs/>
          <w:color w:val="auto"/>
          <w:spacing w:val="37"/>
          <w:sz w:val="70"/>
          <w:szCs w:val="70"/>
          <w:highlight w:val="none"/>
        </w:rPr>
      </w:pPr>
    </w:p>
    <w:p>
      <w:pPr>
        <w:rPr>
          <w:rFonts w:ascii="Times New Roman" w:hAnsi="Times New Roman" w:eastAsia="方正大标宋简体"/>
          <w:b/>
          <w:bCs/>
          <w:color w:val="auto"/>
          <w:spacing w:val="37"/>
          <w:sz w:val="70"/>
          <w:szCs w:val="70"/>
          <w:highlight w:val="none"/>
        </w:rPr>
      </w:pPr>
    </w:p>
    <w:p>
      <w:pPr>
        <w:jc w:val="center"/>
        <w:rPr>
          <w:rFonts w:ascii="Times New Roman" w:hAnsi="Times New Roman" w:eastAsia="方正大标宋简体"/>
          <w:bCs/>
          <w:color w:val="auto"/>
          <w:spacing w:val="80"/>
          <w:sz w:val="70"/>
          <w:szCs w:val="70"/>
          <w:highlight w:val="none"/>
        </w:rPr>
      </w:pPr>
      <w:r>
        <w:rPr>
          <w:rFonts w:ascii="Times New Roman" w:hAnsi="Times New Roman" w:eastAsia="方正大标宋简体"/>
          <w:bCs/>
          <w:color w:val="auto"/>
          <w:spacing w:val="80"/>
          <w:sz w:val="70"/>
          <w:szCs w:val="70"/>
          <w:highlight w:val="none"/>
        </w:rPr>
        <w:t>建设工程监理合同</w:t>
      </w:r>
    </w:p>
    <w:p>
      <w:pPr>
        <w:rPr>
          <w:rFonts w:ascii="Times New Roman" w:hAnsi="Times New Roman"/>
          <w:color w:val="auto"/>
          <w:szCs w:val="28"/>
          <w:highlight w:val="none"/>
        </w:rPr>
      </w:pPr>
    </w:p>
    <w:p>
      <w:pPr>
        <w:rPr>
          <w:rFonts w:ascii="Times New Roman" w:hAnsi="Times New Roman"/>
          <w:color w:val="auto"/>
          <w:szCs w:val="28"/>
          <w:highlight w:val="none"/>
        </w:rPr>
      </w:pPr>
    </w:p>
    <w:p>
      <w:pPr>
        <w:rPr>
          <w:rFonts w:ascii="Times New Roman" w:hAnsi="Times New Roman"/>
          <w:color w:val="auto"/>
          <w:szCs w:val="28"/>
          <w:highlight w:val="none"/>
        </w:rPr>
      </w:pPr>
    </w:p>
    <w:p>
      <w:pPr>
        <w:rPr>
          <w:rFonts w:ascii="Times New Roman" w:hAnsi="Times New Roman"/>
          <w:color w:val="auto"/>
          <w:szCs w:val="28"/>
          <w:highlight w:val="none"/>
        </w:rPr>
      </w:pPr>
    </w:p>
    <w:p>
      <w:pPr>
        <w:rPr>
          <w:rFonts w:ascii="Times New Roman" w:hAnsi="Times New Roman"/>
          <w:color w:val="auto"/>
          <w:sz w:val="24"/>
          <w:highlight w:val="none"/>
        </w:rPr>
      </w:pPr>
    </w:p>
    <w:p>
      <w:pPr>
        <w:spacing w:line="800" w:lineRule="exact"/>
        <w:ind w:firstLine="900" w:firstLineChars="300"/>
        <w:jc w:val="left"/>
        <w:rPr>
          <w:rFonts w:hint="eastAsia" w:ascii="Times New Roman" w:hAnsi="Times New Roman" w:eastAsia="黑体"/>
          <w:color w:val="auto"/>
          <w:sz w:val="30"/>
          <w:szCs w:val="30"/>
          <w:highlight w:val="none"/>
          <w:lang w:eastAsia="zh-CN"/>
        </w:rPr>
      </w:pPr>
      <w:r>
        <w:rPr>
          <w:rFonts w:ascii="Times New Roman" w:hAnsi="Times New Roman" w:eastAsia="黑体"/>
          <w:color w:val="auto"/>
          <w:sz w:val="30"/>
          <w:szCs w:val="30"/>
          <w:highlight w:val="none"/>
        </w:rPr>
        <w:t>项目名称：</w:t>
      </w:r>
      <w:r>
        <w:rPr>
          <w:rFonts w:hint="eastAsia" w:ascii="Times New Roman" w:hAnsi="Times New Roman" w:eastAsia="楷体_GB2312"/>
          <w:color w:val="auto"/>
          <w:sz w:val="30"/>
          <w:szCs w:val="30"/>
          <w:highlight w:val="none"/>
          <w:lang w:eastAsia="zh-CN"/>
        </w:rPr>
        <w:t>株洲市清水塘老工业区产业新城整体开发项目清水塘大桥新建工程施工监理</w:t>
      </w:r>
    </w:p>
    <w:p>
      <w:pPr>
        <w:spacing w:line="800" w:lineRule="exact"/>
        <w:ind w:firstLine="900" w:firstLineChars="300"/>
        <w:jc w:val="left"/>
        <w:rPr>
          <w:rFonts w:ascii="Times New Roman" w:hAnsi="Times New Roman" w:eastAsia="黑体"/>
          <w:color w:val="auto"/>
          <w:sz w:val="30"/>
          <w:szCs w:val="30"/>
          <w:highlight w:val="none"/>
        </w:rPr>
      </w:pPr>
      <w:r>
        <w:rPr>
          <w:rFonts w:hint="eastAsia" w:ascii="Times New Roman" w:hAnsi="Times New Roman" w:eastAsia="黑体"/>
          <w:color w:val="auto"/>
          <w:sz w:val="30"/>
          <w:szCs w:val="30"/>
          <w:highlight w:val="none"/>
        </w:rPr>
        <w:t>第一</w:t>
      </w:r>
      <w:r>
        <w:rPr>
          <w:rFonts w:ascii="Times New Roman" w:hAnsi="Times New Roman" w:eastAsia="黑体"/>
          <w:color w:val="auto"/>
          <w:sz w:val="30"/>
          <w:szCs w:val="30"/>
          <w:highlight w:val="none"/>
        </w:rPr>
        <w:t>委托人：</w:t>
      </w:r>
      <w:r>
        <w:rPr>
          <w:rFonts w:ascii="Times New Roman" w:hAnsi="Times New Roman" w:eastAsia="楷体_GB2312"/>
          <w:color w:val="auto"/>
          <w:sz w:val="30"/>
          <w:szCs w:val="30"/>
          <w:highlight w:val="none"/>
        </w:rPr>
        <w:t>株洲市清水塘投资集团有限公司</w:t>
      </w:r>
    </w:p>
    <w:p>
      <w:pPr>
        <w:spacing w:line="800" w:lineRule="exact"/>
        <w:ind w:firstLine="900" w:firstLineChars="300"/>
        <w:jc w:val="left"/>
        <w:rPr>
          <w:rFonts w:ascii="Times New Roman" w:hAnsi="Times New Roman" w:eastAsia="黑体"/>
          <w:color w:val="auto"/>
          <w:sz w:val="30"/>
          <w:szCs w:val="30"/>
          <w:highlight w:val="none"/>
        </w:rPr>
      </w:pPr>
      <w:r>
        <w:rPr>
          <w:rFonts w:hint="eastAsia" w:ascii="Times New Roman" w:hAnsi="Times New Roman" w:eastAsia="黑体"/>
          <w:color w:val="auto"/>
          <w:sz w:val="30"/>
          <w:szCs w:val="30"/>
          <w:highlight w:val="none"/>
        </w:rPr>
        <w:t>第二委托人</w:t>
      </w:r>
      <w:r>
        <w:rPr>
          <w:rFonts w:ascii="Times New Roman" w:hAnsi="Times New Roman" w:eastAsia="黑体"/>
          <w:color w:val="auto"/>
          <w:sz w:val="30"/>
          <w:szCs w:val="30"/>
          <w:highlight w:val="none"/>
        </w:rPr>
        <w:t>：</w:t>
      </w:r>
      <w:r>
        <w:rPr>
          <w:rFonts w:ascii="Times New Roman" w:hAnsi="Times New Roman" w:eastAsia="楷体_GB2312"/>
          <w:color w:val="auto"/>
          <w:sz w:val="30"/>
          <w:szCs w:val="30"/>
          <w:highlight w:val="none"/>
        </w:rPr>
        <w:t>株洲</w:t>
      </w:r>
      <w:r>
        <w:rPr>
          <w:rFonts w:hint="eastAsia" w:ascii="Times New Roman" w:hAnsi="Times New Roman" w:eastAsia="楷体_GB2312"/>
          <w:color w:val="auto"/>
          <w:sz w:val="30"/>
          <w:szCs w:val="30"/>
          <w:highlight w:val="none"/>
        </w:rPr>
        <w:t>中交</w:t>
      </w:r>
      <w:r>
        <w:rPr>
          <w:rFonts w:ascii="Times New Roman" w:hAnsi="Times New Roman" w:eastAsia="楷体_GB2312"/>
          <w:color w:val="auto"/>
          <w:sz w:val="30"/>
          <w:szCs w:val="30"/>
          <w:highlight w:val="none"/>
        </w:rPr>
        <w:t>清水塘投资</w:t>
      </w:r>
      <w:r>
        <w:rPr>
          <w:rFonts w:hint="eastAsia" w:ascii="Times New Roman" w:hAnsi="Times New Roman" w:eastAsia="楷体_GB2312"/>
          <w:color w:val="auto"/>
          <w:sz w:val="30"/>
          <w:szCs w:val="30"/>
          <w:highlight w:val="none"/>
        </w:rPr>
        <w:t>开发</w:t>
      </w:r>
      <w:r>
        <w:rPr>
          <w:rFonts w:ascii="Times New Roman" w:hAnsi="Times New Roman" w:eastAsia="楷体_GB2312"/>
          <w:color w:val="auto"/>
          <w:sz w:val="30"/>
          <w:szCs w:val="30"/>
          <w:highlight w:val="none"/>
        </w:rPr>
        <w:t>有限公司</w:t>
      </w:r>
    </w:p>
    <w:p>
      <w:pPr>
        <w:spacing w:line="800" w:lineRule="exact"/>
        <w:ind w:firstLine="900" w:firstLineChars="300"/>
        <w:jc w:val="left"/>
        <w:rPr>
          <w:rFonts w:ascii="Times New Roman" w:hAnsi="Times New Roman" w:eastAsia="黑体"/>
          <w:color w:val="auto"/>
          <w:sz w:val="30"/>
          <w:szCs w:val="30"/>
          <w:highlight w:val="none"/>
        </w:rPr>
      </w:pPr>
      <w:r>
        <w:rPr>
          <w:rFonts w:ascii="Times New Roman" w:hAnsi="Times New Roman" w:eastAsia="黑体"/>
          <w:color w:val="auto"/>
          <w:sz w:val="30"/>
          <w:szCs w:val="30"/>
          <w:highlight w:val="none"/>
        </w:rPr>
        <w:t>监  理  人：</w:t>
      </w:r>
    </w:p>
    <w:p>
      <w:pPr>
        <w:spacing w:line="800" w:lineRule="exact"/>
        <w:ind w:firstLine="900" w:firstLineChars="300"/>
        <w:jc w:val="left"/>
        <w:rPr>
          <w:rFonts w:ascii="Times New Roman" w:hAnsi="Times New Roman" w:eastAsia="黑体"/>
          <w:color w:val="auto"/>
          <w:sz w:val="30"/>
          <w:szCs w:val="30"/>
          <w:highlight w:val="none"/>
        </w:rPr>
      </w:pPr>
      <w:r>
        <w:rPr>
          <w:rFonts w:ascii="Times New Roman" w:hAnsi="Times New Roman" w:eastAsia="黑体"/>
          <w:color w:val="auto"/>
          <w:sz w:val="30"/>
          <w:szCs w:val="30"/>
          <w:highlight w:val="none"/>
        </w:rPr>
        <w:t>签订时间：2019</w:t>
      </w:r>
      <w:r>
        <w:rPr>
          <w:rFonts w:ascii="Times New Roman" w:hAnsi="Times New Roman" w:eastAsia="楷体_GB2312"/>
          <w:color w:val="auto"/>
          <w:sz w:val="30"/>
          <w:szCs w:val="30"/>
          <w:highlight w:val="none"/>
        </w:rPr>
        <w:t>年   月   日</w:t>
      </w:r>
    </w:p>
    <w:p>
      <w:pPr>
        <w:jc w:val="left"/>
        <w:rPr>
          <w:rFonts w:ascii="Times New Roman" w:hAnsi="Times New Roman"/>
          <w:color w:val="auto"/>
          <w:szCs w:val="28"/>
          <w:highlight w:val="none"/>
        </w:rPr>
      </w:pPr>
    </w:p>
    <w:p>
      <w:pPr>
        <w:jc w:val="left"/>
        <w:rPr>
          <w:rFonts w:ascii="Times New Roman" w:hAnsi="Times New Roman"/>
          <w:color w:val="auto"/>
          <w:szCs w:val="28"/>
          <w:highlight w:val="none"/>
        </w:rPr>
      </w:pPr>
    </w:p>
    <w:p>
      <w:pPr>
        <w:rPr>
          <w:rFonts w:ascii="Times New Roman" w:hAnsi="Times New Roman"/>
          <w:color w:val="auto"/>
          <w:szCs w:val="28"/>
          <w:highlight w:val="none"/>
        </w:rPr>
      </w:pPr>
    </w:p>
    <w:p>
      <w:pPr>
        <w:jc w:val="center"/>
        <w:rPr>
          <w:rFonts w:ascii="Times New Roman" w:hAnsi="Times New Roman"/>
          <w:color w:val="auto"/>
          <w:sz w:val="52"/>
          <w:szCs w:val="52"/>
          <w:highlight w:val="none"/>
        </w:rPr>
      </w:pPr>
    </w:p>
    <w:p>
      <w:pPr>
        <w:rPr>
          <w:rFonts w:ascii="Times New Roman" w:hAnsi="Times New Roman"/>
          <w:b/>
          <w:color w:val="auto"/>
          <w:sz w:val="52"/>
          <w:szCs w:val="52"/>
          <w:highlight w:val="none"/>
        </w:rPr>
      </w:pPr>
    </w:p>
    <w:p>
      <w:pPr>
        <w:rPr>
          <w:rFonts w:ascii="Times New Roman" w:hAnsi="Times New Roman"/>
          <w:color w:val="auto"/>
          <w:highlight w:val="none"/>
        </w:rPr>
      </w:pPr>
    </w:p>
    <w:p>
      <w:pPr>
        <w:ind w:firstLine="840" w:firstLineChars="400"/>
        <w:rPr>
          <w:rFonts w:ascii="Times New Roman" w:hAnsi="Times New Roman"/>
          <w:color w:val="auto"/>
          <w:highlight w:val="none"/>
        </w:rPr>
      </w:pPr>
    </w:p>
    <w:p>
      <w:pPr>
        <w:ind w:firstLine="840" w:firstLineChars="400"/>
        <w:rPr>
          <w:rFonts w:ascii="Times New Roman" w:hAnsi="Times New Roman"/>
          <w:color w:val="auto"/>
          <w:highlight w:val="none"/>
        </w:rPr>
      </w:pPr>
    </w:p>
    <w:p>
      <w:pPr>
        <w:spacing w:line="720" w:lineRule="exact"/>
        <w:ind w:right="420" w:rightChars="200"/>
        <w:rPr>
          <w:rFonts w:ascii="Times New Roman" w:hAnsi="Times New Roman"/>
          <w:bCs/>
          <w:color w:val="auto"/>
          <w:sz w:val="32"/>
          <w:szCs w:val="32"/>
          <w:highlight w:val="none"/>
        </w:rPr>
      </w:pPr>
    </w:p>
    <w:p>
      <w:pPr>
        <w:rPr>
          <w:rFonts w:ascii="Times New Roman" w:hAnsi="Times New Roman"/>
          <w:bCs/>
          <w:color w:val="auto"/>
          <w:kern w:val="40"/>
          <w:sz w:val="44"/>
          <w:szCs w:val="44"/>
          <w:highlight w:val="none"/>
        </w:rPr>
      </w:pPr>
      <w:r>
        <w:rPr>
          <w:rFonts w:ascii="Times New Roman" w:hAnsi="Times New Roman"/>
          <w:bCs/>
          <w:color w:val="auto"/>
          <w:kern w:val="40"/>
          <w:sz w:val="44"/>
          <w:szCs w:val="44"/>
          <w:highlight w:val="none"/>
        </w:rPr>
        <w:br w:type="page"/>
      </w:r>
    </w:p>
    <w:p>
      <w:pPr>
        <w:keepNext/>
        <w:keepLines/>
        <w:autoSpaceDE w:val="0"/>
        <w:autoSpaceDN w:val="0"/>
        <w:adjustRightInd w:val="0"/>
        <w:jc w:val="center"/>
        <w:outlineLvl w:val="1"/>
        <w:rPr>
          <w:rFonts w:ascii="Times New Roman" w:hAnsi="Times New Roman"/>
          <w:bCs/>
          <w:color w:val="auto"/>
          <w:kern w:val="40"/>
          <w:sz w:val="44"/>
          <w:szCs w:val="44"/>
          <w:highlight w:val="none"/>
        </w:rPr>
      </w:pPr>
      <w:r>
        <w:rPr>
          <w:rFonts w:ascii="Times New Roman" w:hAnsi="Times New Roman"/>
          <w:bCs/>
          <w:color w:val="auto"/>
          <w:kern w:val="40"/>
          <w:sz w:val="44"/>
          <w:szCs w:val="44"/>
          <w:highlight w:val="none"/>
        </w:rPr>
        <w:t>第一部分  建设工程监理合同协议书</w:t>
      </w:r>
    </w:p>
    <w:p>
      <w:pPr>
        <w:widowControl/>
        <w:spacing w:line="640" w:lineRule="exact"/>
        <w:ind w:firstLine="560" w:firstLineChars="200"/>
        <w:rPr>
          <w:rFonts w:ascii="Times New Roman" w:hAnsi="Times New Roman"/>
          <w:color w:val="auto"/>
          <w:sz w:val="28"/>
          <w:szCs w:val="28"/>
          <w:highlight w:val="none"/>
        </w:rPr>
      </w:pPr>
    </w:p>
    <w:p>
      <w:pPr>
        <w:widowControl/>
        <w:spacing w:line="640" w:lineRule="exact"/>
        <w:rPr>
          <w:rFonts w:ascii="Times New Roman" w:hAnsi="Times New Roman"/>
          <w:color w:val="auto"/>
          <w:sz w:val="28"/>
          <w:szCs w:val="28"/>
          <w:highlight w:val="none"/>
        </w:rPr>
      </w:pPr>
      <w:r>
        <w:rPr>
          <w:rFonts w:hint="eastAsia" w:ascii="Times New Roman" w:hAnsi="Times New Roman"/>
          <w:color w:val="auto"/>
          <w:sz w:val="28"/>
          <w:szCs w:val="28"/>
          <w:highlight w:val="none"/>
        </w:rPr>
        <w:t>第一</w:t>
      </w:r>
      <w:r>
        <w:rPr>
          <w:rFonts w:ascii="Times New Roman" w:hAnsi="Times New Roman"/>
          <w:color w:val="auto"/>
          <w:sz w:val="28"/>
          <w:szCs w:val="28"/>
          <w:highlight w:val="none"/>
        </w:rPr>
        <w:t>委托人（全称）：</w:t>
      </w:r>
    </w:p>
    <w:p>
      <w:pPr>
        <w:widowControl/>
        <w:spacing w:line="640" w:lineRule="exact"/>
        <w:rPr>
          <w:rFonts w:ascii="Times New Roman" w:hAnsi="Times New Roman"/>
          <w:bCs/>
          <w:color w:val="auto"/>
          <w:sz w:val="32"/>
          <w:szCs w:val="32"/>
          <w:highlight w:val="none"/>
          <w:u w:val="single"/>
        </w:rPr>
      </w:pPr>
      <w:r>
        <w:rPr>
          <w:rFonts w:hint="eastAsia" w:ascii="Times New Roman" w:hAnsi="Times New Roman"/>
          <w:color w:val="auto"/>
          <w:sz w:val="28"/>
          <w:szCs w:val="28"/>
          <w:highlight w:val="none"/>
        </w:rPr>
        <w:t>第二委托人</w:t>
      </w:r>
      <w:r>
        <w:rPr>
          <w:rFonts w:ascii="Times New Roman" w:hAnsi="Times New Roman"/>
          <w:color w:val="auto"/>
          <w:sz w:val="28"/>
          <w:szCs w:val="28"/>
          <w:highlight w:val="none"/>
        </w:rPr>
        <w:t>（全称）：</w:t>
      </w:r>
    </w:p>
    <w:p>
      <w:pPr>
        <w:widowControl/>
        <w:spacing w:line="640" w:lineRule="exact"/>
        <w:rPr>
          <w:rFonts w:ascii="Times New Roman" w:hAnsi="Times New Roman"/>
          <w:color w:val="auto"/>
          <w:sz w:val="28"/>
          <w:szCs w:val="28"/>
          <w:highlight w:val="none"/>
        </w:rPr>
      </w:pPr>
      <w:r>
        <w:rPr>
          <w:rFonts w:ascii="Times New Roman" w:hAnsi="Times New Roman"/>
          <w:color w:val="auto"/>
          <w:sz w:val="28"/>
          <w:szCs w:val="28"/>
          <w:highlight w:val="none"/>
        </w:rPr>
        <w:t>监</w:t>
      </w:r>
      <w:r>
        <w:rPr>
          <w:rFonts w:hint="eastAsia" w:ascii="Times New Roman" w:hAnsi="Times New Roman"/>
          <w:color w:val="auto"/>
          <w:sz w:val="28"/>
          <w:szCs w:val="28"/>
          <w:highlight w:val="none"/>
        </w:rPr>
        <w:t xml:space="preserve"> </w:t>
      </w:r>
      <w:r>
        <w:rPr>
          <w:rFonts w:ascii="Times New Roman" w:hAnsi="Times New Roman"/>
          <w:color w:val="auto"/>
          <w:sz w:val="28"/>
          <w:szCs w:val="28"/>
          <w:highlight w:val="none"/>
        </w:rPr>
        <w:t xml:space="preserve"> 理</w:t>
      </w:r>
      <w:r>
        <w:rPr>
          <w:rFonts w:hint="eastAsia" w:ascii="Times New Roman" w:hAnsi="Times New Roman"/>
          <w:color w:val="auto"/>
          <w:sz w:val="28"/>
          <w:szCs w:val="28"/>
          <w:highlight w:val="none"/>
        </w:rPr>
        <w:t xml:space="preserve">  </w:t>
      </w:r>
      <w:r>
        <w:rPr>
          <w:rFonts w:ascii="Times New Roman" w:hAnsi="Times New Roman"/>
          <w:color w:val="auto"/>
          <w:sz w:val="28"/>
          <w:szCs w:val="28"/>
          <w:highlight w:val="none"/>
        </w:rPr>
        <w:t>人（全称）：</w:t>
      </w:r>
    </w:p>
    <w:p>
      <w:pPr>
        <w:widowControl/>
        <w:spacing w:line="640" w:lineRule="exact"/>
        <w:ind w:firstLine="697" w:firstLineChars="249"/>
        <w:rPr>
          <w:rFonts w:ascii="Times New Roman" w:hAnsi="Times New Roman"/>
          <w:color w:val="auto"/>
          <w:sz w:val="28"/>
          <w:szCs w:val="28"/>
          <w:highlight w:val="none"/>
        </w:rPr>
      </w:pP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依据《中华人民共和国合同法》、《中华人民共和国建筑法》及其他有关法律、行政法规，遵循平等、自愿、公平和诚实信用的原则，三方就本工程委托的监理服务和相关服务事项协商一致，订立本合同。</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一、工程概况</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委托人委托监理人服务的工程概况如下：</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1.工程名称：</w:t>
      </w:r>
      <w:r>
        <w:rPr>
          <w:rFonts w:hint="eastAsia" w:ascii="Times New Roman" w:hAnsi="Times New Roman"/>
          <w:color w:val="auto"/>
          <w:sz w:val="28"/>
          <w:szCs w:val="28"/>
          <w:highlight w:val="none"/>
          <w:lang w:eastAsia="zh-CN"/>
        </w:rPr>
        <w:t>株洲市清水塘老工业区产业新城整体开发项目清水塘大桥新建工程施工监理</w:t>
      </w:r>
      <w:r>
        <w:rPr>
          <w:rFonts w:hint="eastAsia" w:ascii="Times New Roman" w:hAnsi="Times New Roman"/>
          <w:color w:val="auto"/>
          <w:sz w:val="28"/>
          <w:szCs w:val="28"/>
          <w:highlight w:val="none"/>
        </w:rPr>
        <w:t>。</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2.工程地点：石峰区和天元区境内</w:t>
      </w:r>
      <w:r>
        <w:rPr>
          <w:rFonts w:hint="eastAsia" w:ascii="Times New Roman" w:hAnsi="Times New Roman"/>
          <w:color w:val="auto"/>
          <w:sz w:val="28"/>
          <w:szCs w:val="28"/>
          <w:highlight w:val="none"/>
        </w:rPr>
        <w:t>。</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3.工程规模：项目主要建设内容为新建桥梁、道路、排水、照明、景观、交通设施及附属工程等。清水塘大桥北起清水塘大道，上跨清霞路，往南越过湘江，上跨滨江北路、新东路后对接珠江北路落地，道路全长2.85公里，其中桥梁段长度2.175公里。主跨桥梁采用双层钢桁架拱桥结构，跨径408米，桥梁上层为机动车道，净宽31米，双向6车道，桥梁下层为人非车道，净宽10米。道路等级按城市主干道标准设计。跨江主线段设计时速60公里/小时，引桥接地段及地面道路段设计时速50公里/小时，匝道设计时速40公里/小时。其他经济技术指标应符合城市道路和桥梁设计建设现行标准规范要求。</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4.工程建安投资：项目总投资150256.63万元，其中工程费113363.44万元。</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二、词语限定</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本合同协议书的相关词语含义与通用条件、专用条件中的定义相同。</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三、合同文件组成</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下列文件均为本合同的组成部分：</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1.协议书；</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2.中标函或委托书；</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3.监理招标文件，监理投标文件；</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4.通用条件；</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5.专用条件；</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6.附录，即：</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附录A——服务范围和内容；</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附录B——委托人提供的人员、设备和设施；</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附录C——收费金额和支付</w:t>
      </w:r>
      <w:r>
        <w:rPr>
          <w:rFonts w:hint="eastAsia" w:ascii="Times New Roman" w:hAnsi="Times New Roman"/>
          <w:color w:val="auto"/>
          <w:sz w:val="28"/>
          <w:szCs w:val="28"/>
          <w:highlight w:val="none"/>
        </w:rPr>
        <w:t>；</w:t>
      </w:r>
    </w:p>
    <w:p>
      <w:pPr>
        <w:widowControl/>
        <w:spacing w:line="640" w:lineRule="exact"/>
        <w:ind w:firstLine="560" w:firstLineChars="200"/>
        <w:rPr>
          <w:rFonts w:ascii="Times New Roman" w:hAnsi="Times New Roman"/>
          <w:color w:val="auto"/>
          <w:sz w:val="28"/>
          <w:szCs w:val="28"/>
          <w:highlight w:val="none"/>
        </w:rPr>
      </w:pPr>
      <w:r>
        <w:rPr>
          <w:rFonts w:hint="eastAsia" w:ascii="Times New Roman" w:hAnsi="Times New Roman"/>
          <w:color w:val="auto"/>
          <w:sz w:val="28"/>
          <w:szCs w:val="28"/>
          <w:highlight w:val="none"/>
        </w:rPr>
        <w:t>附录D</w:t>
      </w:r>
      <w:r>
        <w:rPr>
          <w:rFonts w:ascii="Times New Roman" w:hAnsi="Times New Roman"/>
          <w:color w:val="auto"/>
          <w:sz w:val="28"/>
          <w:szCs w:val="28"/>
          <w:highlight w:val="none"/>
        </w:rPr>
        <w:t>——</w:t>
      </w:r>
      <w:r>
        <w:rPr>
          <w:rFonts w:hint="eastAsia" w:ascii="Times New Roman" w:hAnsi="Times New Roman"/>
          <w:color w:val="auto"/>
          <w:sz w:val="28"/>
          <w:szCs w:val="28"/>
          <w:highlight w:val="none"/>
        </w:rPr>
        <w:t>株清发司字［2017］32号文；</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7.在实施过程中三方共同签署的补充与修正文件。</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四、三方承诺</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1.监理人向委托人承诺，按照本合同的规定，承担本合同附录A中约定范围内的服务。</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2.</w:t>
      </w:r>
      <w:r>
        <w:rPr>
          <w:rFonts w:hint="eastAsia" w:ascii="Times New Roman" w:hAnsi="Times New Roman"/>
          <w:color w:val="auto"/>
          <w:sz w:val="28"/>
          <w:szCs w:val="28"/>
          <w:highlight w:val="none"/>
        </w:rPr>
        <w:t>第一</w:t>
      </w:r>
      <w:r>
        <w:rPr>
          <w:rFonts w:ascii="Times New Roman" w:hAnsi="Times New Roman"/>
          <w:color w:val="auto"/>
          <w:sz w:val="28"/>
          <w:szCs w:val="28"/>
          <w:highlight w:val="none"/>
        </w:rPr>
        <w:t>委托人向监理人承诺，按照本合同附录C中注明的期限、方式、币种，协助</w:t>
      </w:r>
      <w:r>
        <w:rPr>
          <w:rFonts w:hint="eastAsia" w:ascii="Times New Roman" w:hAnsi="Times New Roman"/>
          <w:color w:val="auto"/>
          <w:sz w:val="28"/>
          <w:szCs w:val="28"/>
          <w:highlight w:val="none"/>
        </w:rPr>
        <w:t>第二委托人</w:t>
      </w:r>
      <w:r>
        <w:rPr>
          <w:rFonts w:ascii="Times New Roman" w:hAnsi="Times New Roman"/>
          <w:color w:val="auto"/>
          <w:sz w:val="28"/>
          <w:szCs w:val="28"/>
          <w:highlight w:val="none"/>
        </w:rPr>
        <w:t>向监理人支付监理服务费用。</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五、服务期限</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以本招标工程项目的施工准备阶段、施工合同工期、交工验收工期另加缺陷责任期24个月。若工程实际工期超过施工合同确定的工期，延</w:t>
      </w:r>
      <w:r>
        <w:rPr>
          <w:rFonts w:hint="eastAsia" w:ascii="Times New Roman" w:hAnsi="Times New Roman"/>
          <w:color w:val="auto"/>
          <w:sz w:val="28"/>
          <w:szCs w:val="28"/>
          <w:highlight w:val="none"/>
        </w:rPr>
        <w:t>期</w:t>
      </w:r>
      <w:r>
        <w:rPr>
          <w:rFonts w:ascii="Times New Roman" w:hAnsi="Times New Roman"/>
          <w:color w:val="auto"/>
          <w:sz w:val="28"/>
          <w:szCs w:val="28"/>
          <w:highlight w:val="none"/>
        </w:rPr>
        <w:t>三个月内，不增加监理服务费；延期超过三个月之外的监理服务费</w:t>
      </w:r>
      <w:r>
        <w:rPr>
          <w:rFonts w:hint="eastAsia" w:ascii="Times New Roman" w:hAnsi="Times New Roman"/>
          <w:color w:val="auto"/>
          <w:sz w:val="28"/>
          <w:szCs w:val="28"/>
          <w:highlight w:val="none"/>
        </w:rPr>
        <w:t>，</w:t>
      </w:r>
      <w:r>
        <w:rPr>
          <w:rFonts w:ascii="Times New Roman" w:hAnsi="Times New Roman"/>
          <w:color w:val="auto"/>
          <w:sz w:val="28"/>
          <w:szCs w:val="28"/>
          <w:highlight w:val="none"/>
        </w:rPr>
        <w:t>三方另行协商</w:t>
      </w:r>
      <w:r>
        <w:rPr>
          <w:rFonts w:hint="eastAsia" w:ascii="Times New Roman" w:hAnsi="Times New Roman"/>
          <w:color w:val="auto"/>
          <w:sz w:val="28"/>
          <w:szCs w:val="28"/>
          <w:highlight w:val="none"/>
        </w:rPr>
        <w:t>确定</w:t>
      </w:r>
      <w:r>
        <w:rPr>
          <w:rFonts w:ascii="Times New Roman" w:hAnsi="Times New Roman"/>
          <w:color w:val="auto"/>
          <w:sz w:val="28"/>
          <w:szCs w:val="28"/>
          <w:highlight w:val="none"/>
        </w:rPr>
        <w:t>。</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六、合同的订立及生效</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合同订立时间：</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年</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月</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日</w:t>
      </w:r>
      <w:r>
        <w:rPr>
          <w:rFonts w:hint="eastAsia" w:ascii="Times New Roman" w:hAnsi="Times New Roman"/>
          <w:color w:val="auto"/>
          <w:sz w:val="28"/>
          <w:szCs w:val="28"/>
          <w:highlight w:val="none"/>
        </w:rPr>
        <w:t>。</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本合同三方约定</w:t>
      </w:r>
      <w:r>
        <w:rPr>
          <w:rFonts w:ascii="Times New Roman" w:hAnsi="Times New Roman"/>
          <w:color w:val="auto"/>
          <w:sz w:val="28"/>
          <w:szCs w:val="28"/>
          <w:highlight w:val="none"/>
          <w:u w:val="single"/>
        </w:rPr>
        <w:t xml:space="preserve"> 签字盖章 </w:t>
      </w:r>
      <w:r>
        <w:rPr>
          <w:rFonts w:ascii="Times New Roman" w:hAnsi="Times New Roman"/>
          <w:color w:val="auto"/>
          <w:sz w:val="28"/>
          <w:szCs w:val="28"/>
          <w:highlight w:val="none"/>
        </w:rPr>
        <w:t>后生效。</w:t>
      </w:r>
    </w:p>
    <w:p>
      <w:pPr>
        <w:widowControl/>
        <w:spacing w:line="64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本合同一式</w:t>
      </w:r>
      <w:r>
        <w:rPr>
          <w:rFonts w:ascii="Times New Roman" w:hAnsi="Times New Roman"/>
          <w:color w:val="auto"/>
          <w:sz w:val="28"/>
          <w:szCs w:val="28"/>
          <w:highlight w:val="none"/>
          <w:u w:val="single"/>
        </w:rPr>
        <w:t xml:space="preserve"> 壹拾</w:t>
      </w:r>
      <w:r>
        <w:rPr>
          <w:rFonts w:hint="eastAsia" w:ascii="Times New Roman" w:hAnsi="Times New Roman"/>
          <w:color w:val="auto"/>
          <w:sz w:val="28"/>
          <w:szCs w:val="28"/>
          <w:highlight w:val="none"/>
          <w:u w:val="single"/>
        </w:rPr>
        <w:t>贰</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份，具有同等法律效力，</w:t>
      </w:r>
      <w:r>
        <w:rPr>
          <w:rFonts w:hint="eastAsia" w:ascii="Times New Roman" w:hAnsi="Times New Roman"/>
          <w:color w:val="auto"/>
          <w:sz w:val="28"/>
          <w:szCs w:val="28"/>
          <w:highlight w:val="none"/>
        </w:rPr>
        <w:t>第一</w:t>
      </w:r>
      <w:r>
        <w:rPr>
          <w:rFonts w:ascii="Times New Roman" w:hAnsi="Times New Roman"/>
          <w:color w:val="auto"/>
          <w:sz w:val="28"/>
          <w:szCs w:val="28"/>
          <w:highlight w:val="none"/>
        </w:rPr>
        <w:t>委托人执</w:t>
      </w:r>
      <w:r>
        <w:rPr>
          <w:rFonts w:hint="eastAsia" w:ascii="Times New Roman" w:hAnsi="Times New Roman"/>
          <w:color w:val="auto"/>
          <w:sz w:val="28"/>
          <w:szCs w:val="28"/>
          <w:highlight w:val="none"/>
          <w:u w:val="single"/>
        </w:rPr>
        <w:t xml:space="preserve"> </w:t>
      </w:r>
      <w:r>
        <w:rPr>
          <w:rFonts w:ascii="Times New Roman" w:hAnsi="Times New Roman"/>
          <w:color w:val="auto"/>
          <w:sz w:val="28"/>
          <w:szCs w:val="28"/>
          <w:highlight w:val="none"/>
          <w:u w:val="single"/>
        </w:rPr>
        <w:t>肆</w:t>
      </w:r>
      <w:r>
        <w:rPr>
          <w:rFonts w:hint="eastAsia" w:ascii="Times New Roman" w:hAnsi="Times New Roman"/>
          <w:color w:val="auto"/>
          <w:sz w:val="28"/>
          <w:szCs w:val="28"/>
          <w:highlight w:val="none"/>
          <w:u w:val="single"/>
        </w:rPr>
        <w:t xml:space="preserve"> </w:t>
      </w:r>
      <w:r>
        <w:rPr>
          <w:rFonts w:ascii="Times New Roman" w:hAnsi="Times New Roman"/>
          <w:color w:val="auto"/>
          <w:sz w:val="28"/>
          <w:szCs w:val="28"/>
          <w:highlight w:val="none"/>
        </w:rPr>
        <w:t>份，</w:t>
      </w:r>
      <w:r>
        <w:rPr>
          <w:rFonts w:hint="eastAsia" w:ascii="Times New Roman" w:hAnsi="Times New Roman"/>
          <w:color w:val="auto"/>
          <w:sz w:val="28"/>
          <w:szCs w:val="28"/>
          <w:highlight w:val="none"/>
        </w:rPr>
        <w:t>第二委托人</w:t>
      </w:r>
      <w:r>
        <w:rPr>
          <w:rFonts w:ascii="Times New Roman" w:hAnsi="Times New Roman"/>
          <w:color w:val="auto"/>
          <w:sz w:val="28"/>
          <w:szCs w:val="28"/>
          <w:highlight w:val="none"/>
        </w:rPr>
        <w:t>执</w:t>
      </w:r>
      <w:r>
        <w:rPr>
          <w:rFonts w:hint="eastAsia" w:ascii="Times New Roman" w:hAnsi="Times New Roman"/>
          <w:color w:val="auto"/>
          <w:sz w:val="28"/>
          <w:szCs w:val="28"/>
          <w:highlight w:val="none"/>
          <w:u w:val="single"/>
        </w:rPr>
        <w:t xml:space="preserve"> </w:t>
      </w:r>
      <w:r>
        <w:rPr>
          <w:rFonts w:ascii="Times New Roman" w:hAnsi="Times New Roman"/>
          <w:color w:val="auto"/>
          <w:sz w:val="28"/>
          <w:szCs w:val="28"/>
          <w:highlight w:val="none"/>
          <w:u w:val="single"/>
        </w:rPr>
        <w:t>肆</w:t>
      </w:r>
      <w:r>
        <w:rPr>
          <w:rFonts w:hint="eastAsia" w:ascii="Times New Roman" w:hAnsi="Times New Roman"/>
          <w:color w:val="auto"/>
          <w:sz w:val="28"/>
          <w:szCs w:val="28"/>
          <w:highlight w:val="none"/>
          <w:u w:val="single"/>
        </w:rPr>
        <w:t xml:space="preserve"> </w:t>
      </w:r>
      <w:r>
        <w:rPr>
          <w:rFonts w:ascii="Times New Roman" w:hAnsi="Times New Roman"/>
          <w:color w:val="auto"/>
          <w:sz w:val="28"/>
          <w:szCs w:val="28"/>
          <w:highlight w:val="none"/>
        </w:rPr>
        <w:t>份，监理人执</w:t>
      </w:r>
      <w:r>
        <w:rPr>
          <w:rFonts w:hint="eastAsia" w:ascii="Times New Roman" w:hAnsi="Times New Roman"/>
          <w:color w:val="auto"/>
          <w:sz w:val="28"/>
          <w:szCs w:val="28"/>
          <w:highlight w:val="none"/>
          <w:u w:val="single"/>
        </w:rPr>
        <w:t xml:space="preserve"> </w:t>
      </w:r>
      <w:r>
        <w:rPr>
          <w:rFonts w:ascii="Times New Roman" w:hAnsi="Times New Roman"/>
          <w:color w:val="auto"/>
          <w:sz w:val="28"/>
          <w:szCs w:val="28"/>
          <w:highlight w:val="none"/>
          <w:u w:val="single"/>
        </w:rPr>
        <w:t>肆</w:t>
      </w:r>
      <w:r>
        <w:rPr>
          <w:rFonts w:hint="eastAsia" w:ascii="Times New Roman" w:hAnsi="Times New Roman"/>
          <w:color w:val="auto"/>
          <w:sz w:val="28"/>
          <w:szCs w:val="28"/>
          <w:highlight w:val="none"/>
          <w:u w:val="single"/>
        </w:rPr>
        <w:t xml:space="preserve"> </w:t>
      </w:r>
      <w:r>
        <w:rPr>
          <w:rFonts w:ascii="Times New Roman" w:hAnsi="Times New Roman"/>
          <w:color w:val="auto"/>
          <w:sz w:val="28"/>
          <w:szCs w:val="28"/>
          <w:highlight w:val="none"/>
        </w:rPr>
        <w:t>份。</w:t>
      </w:r>
    </w:p>
    <w:p>
      <w:pPr>
        <w:widowControl/>
        <w:spacing w:line="580" w:lineRule="exact"/>
        <w:ind w:firstLine="560" w:firstLineChars="200"/>
        <w:rPr>
          <w:rFonts w:ascii="Times New Roman" w:hAnsi="Times New Roman"/>
          <w:color w:val="auto"/>
          <w:sz w:val="28"/>
          <w:szCs w:val="28"/>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pStyle w:val="2"/>
        <w:spacing w:after="0" w:line="580" w:lineRule="exact"/>
        <w:ind w:firstLine="400"/>
        <w:rPr>
          <w:rFonts w:ascii="Times New Roman" w:hAnsi="Times New Roman"/>
          <w:color w:val="auto"/>
          <w:highlight w:val="none"/>
        </w:rPr>
      </w:pPr>
    </w:p>
    <w:p>
      <w:pPr>
        <w:widowControl/>
        <w:spacing w:line="580" w:lineRule="exact"/>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（本页无正文，为《建设工程监理合同合同》之签章页）</w:t>
      </w:r>
    </w:p>
    <w:p>
      <w:pPr>
        <w:widowControl/>
        <w:spacing w:line="560" w:lineRule="exact"/>
        <w:ind w:firstLine="560" w:firstLineChars="200"/>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r>
        <w:rPr>
          <w:rFonts w:hint="eastAsia" w:ascii="Times New Roman" w:hAnsi="Times New Roman"/>
          <w:color w:val="auto"/>
          <w:sz w:val="28"/>
          <w:szCs w:val="28"/>
          <w:highlight w:val="none"/>
        </w:rPr>
        <w:t>第一</w:t>
      </w:r>
      <w:r>
        <w:rPr>
          <w:rFonts w:ascii="Times New Roman" w:hAnsi="Times New Roman"/>
          <w:color w:val="auto"/>
          <w:sz w:val="28"/>
          <w:szCs w:val="28"/>
          <w:highlight w:val="none"/>
        </w:rPr>
        <w:t>委托人（盖章）：株洲市清水塘投资集团有限公司</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法定代表人/委托代理人（签字）：</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联系电话:（必填）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联系人：（必填）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联系地址：（必填）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签署日期：    年    月    日</w:t>
      </w:r>
    </w:p>
    <w:p>
      <w:pPr>
        <w:widowControl/>
        <w:spacing w:line="560" w:lineRule="exact"/>
        <w:ind w:firstLine="560" w:firstLineChars="200"/>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r>
        <w:rPr>
          <w:rFonts w:hint="eastAsia" w:ascii="Times New Roman" w:hAnsi="Times New Roman"/>
          <w:color w:val="auto"/>
          <w:sz w:val="28"/>
          <w:szCs w:val="28"/>
          <w:highlight w:val="none"/>
        </w:rPr>
        <w:t>第二</w:t>
      </w:r>
      <w:r>
        <w:rPr>
          <w:rFonts w:ascii="Times New Roman" w:hAnsi="Times New Roman"/>
          <w:color w:val="auto"/>
          <w:sz w:val="28"/>
          <w:szCs w:val="28"/>
          <w:highlight w:val="none"/>
        </w:rPr>
        <w:t>委托人（盖章）：</w:t>
      </w:r>
      <w:r>
        <w:rPr>
          <w:rFonts w:hint="eastAsia" w:ascii="Times New Roman" w:hAnsi="Times New Roman"/>
          <w:color w:val="auto"/>
          <w:sz w:val="28"/>
          <w:szCs w:val="28"/>
          <w:highlight w:val="none"/>
        </w:rPr>
        <w:t>株洲中交清水塘投资开发有限公司</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法定代表人/委托代理人（签字）：</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联系电话:（必填）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联系人：（必填）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联系地址：（必填）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签署日期：    年    月    日</w:t>
      </w:r>
    </w:p>
    <w:p>
      <w:pPr>
        <w:widowControl/>
        <w:spacing w:line="560" w:lineRule="exact"/>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监 理 人：（盖章）：</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法定代表人/委托代理人（签字）：</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联系电话：（必填）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联系人：（必填）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联系地址：（必填）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签署日期：    年    月    日</w:t>
      </w:r>
    </w:p>
    <w:p>
      <w:pPr>
        <w:pStyle w:val="6"/>
        <w:spacing w:line="520" w:lineRule="exact"/>
        <w:jc w:val="center"/>
        <w:rPr>
          <w:rFonts w:ascii="Times New Roman" w:hAnsi="Times New Roman" w:eastAsia="宋体"/>
          <w:b w:val="0"/>
          <w:color w:val="auto"/>
          <w:sz w:val="44"/>
          <w:szCs w:val="44"/>
          <w:highlight w:val="none"/>
        </w:rPr>
      </w:pPr>
      <w:r>
        <w:rPr>
          <w:rFonts w:ascii="Times New Roman" w:hAnsi="Times New Roman" w:eastAsia="宋体"/>
          <w:color w:val="auto"/>
          <w:szCs w:val="28"/>
          <w:highlight w:val="none"/>
        </w:rPr>
        <w:br w:type="page"/>
      </w:r>
      <w:r>
        <w:rPr>
          <w:rFonts w:ascii="Times New Roman" w:hAnsi="Times New Roman" w:eastAsia="宋体"/>
          <w:b w:val="0"/>
          <w:color w:val="auto"/>
          <w:sz w:val="44"/>
          <w:szCs w:val="44"/>
          <w:highlight w:val="none"/>
        </w:rPr>
        <w:t>第二部分  通用条件</w:t>
      </w:r>
    </w:p>
    <w:p>
      <w:pPr>
        <w:widowControl/>
        <w:spacing w:line="520" w:lineRule="exact"/>
        <w:ind w:firstLine="562" w:firstLineChars="200"/>
        <w:jc w:val="center"/>
        <w:rPr>
          <w:rFonts w:ascii="Times New Roman" w:hAnsi="Times New Roman"/>
          <w:b/>
          <w:color w:val="auto"/>
          <w:sz w:val="28"/>
          <w:szCs w:val="28"/>
          <w:highlight w:val="none"/>
        </w:rPr>
      </w:pPr>
    </w:p>
    <w:p>
      <w:pPr>
        <w:widowControl/>
        <w:spacing w:line="520" w:lineRule="exact"/>
        <w:jc w:val="center"/>
        <w:rPr>
          <w:rFonts w:ascii="Times New Roman" w:hAnsi="Times New Roman"/>
          <w:b/>
          <w:color w:val="auto"/>
          <w:sz w:val="28"/>
          <w:szCs w:val="28"/>
          <w:highlight w:val="none"/>
        </w:rPr>
      </w:pPr>
      <w:r>
        <w:rPr>
          <w:rFonts w:ascii="Times New Roman" w:hAnsi="Times New Roman"/>
          <w:color w:val="auto"/>
          <w:sz w:val="28"/>
          <w:szCs w:val="28"/>
          <w:highlight w:val="none"/>
        </w:rPr>
        <w:t>严格按“示范文本”第二部分“通用条件”执行。</w:t>
      </w:r>
    </w:p>
    <w:p>
      <w:pPr>
        <w:widowControl/>
        <w:spacing w:line="520" w:lineRule="exact"/>
        <w:ind w:firstLine="562" w:firstLineChars="200"/>
        <w:jc w:val="center"/>
        <w:rPr>
          <w:rFonts w:ascii="Times New Roman" w:hAnsi="Times New Roman"/>
          <w:b/>
          <w:color w:val="auto"/>
          <w:sz w:val="28"/>
          <w:szCs w:val="28"/>
          <w:highlight w:val="none"/>
        </w:rPr>
      </w:pPr>
    </w:p>
    <w:p>
      <w:pPr>
        <w:pStyle w:val="6"/>
        <w:spacing w:line="520" w:lineRule="exact"/>
        <w:jc w:val="center"/>
        <w:rPr>
          <w:rFonts w:ascii="Times New Roman" w:hAnsi="Times New Roman" w:eastAsia="宋体"/>
          <w:b w:val="0"/>
          <w:color w:val="auto"/>
          <w:sz w:val="44"/>
          <w:szCs w:val="44"/>
          <w:highlight w:val="none"/>
        </w:rPr>
      </w:pPr>
      <w:r>
        <w:rPr>
          <w:rFonts w:ascii="Times New Roman" w:hAnsi="Times New Roman" w:eastAsia="宋体"/>
          <w:b w:val="0"/>
          <w:color w:val="auto"/>
          <w:sz w:val="44"/>
          <w:szCs w:val="44"/>
          <w:highlight w:val="none"/>
        </w:rPr>
        <w:t>第三部分  专用条件</w:t>
      </w:r>
    </w:p>
    <w:p>
      <w:pPr>
        <w:widowControl/>
        <w:spacing w:line="520" w:lineRule="exact"/>
        <w:ind w:firstLine="560" w:firstLineChars="200"/>
        <w:jc w:val="center"/>
        <w:rPr>
          <w:rFonts w:ascii="Times New Roman" w:hAnsi="Times New Roman"/>
          <w:color w:val="auto"/>
          <w:sz w:val="28"/>
          <w:szCs w:val="28"/>
          <w:highlight w:val="none"/>
        </w:rPr>
      </w:pP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1.2.1  本合同文件使用汉语语言文字书写时，</w:t>
      </w:r>
      <w:r>
        <w:rPr>
          <w:rFonts w:ascii="Times New Roman" w:hAnsi="Times New Roman"/>
          <w:color w:val="auto"/>
          <w:sz w:val="28"/>
          <w:szCs w:val="28"/>
          <w:highlight w:val="none"/>
          <w:u w:val="single"/>
        </w:rPr>
        <w:t xml:space="preserve"> 汉语 </w:t>
      </w:r>
      <w:r>
        <w:rPr>
          <w:rFonts w:ascii="Times New Roman" w:hAnsi="Times New Roman"/>
          <w:color w:val="auto"/>
          <w:sz w:val="28"/>
          <w:szCs w:val="28"/>
          <w:highlight w:val="none"/>
        </w:rPr>
        <w:t>语言应为解释和说明本合同的标准语言文字。</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1.3  本合同适用的法律、法规：本合同适用的法律法规是指国家的法律、行政法规，以及专用条件中约定的部门规章或项目所在地的地方法规、地方规章及标准规范。</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2.1  本合同委托的服务为：</w:t>
      </w:r>
    </w:p>
    <w:p>
      <w:pPr>
        <w:widowControl/>
        <w:spacing w:after="120" w:afterLines="50" w:line="520" w:lineRule="exact"/>
        <w:ind w:firstLine="560" w:firstLineChars="200"/>
        <w:rPr>
          <w:rFonts w:ascii="Times New Roman" w:hAnsi="Times New Roman"/>
          <w:color w:val="auto"/>
          <w:sz w:val="28"/>
          <w:szCs w:val="28"/>
          <w:highlight w:val="none"/>
          <w:u w:val="single"/>
        </w:rPr>
      </w:pPr>
      <w:r>
        <w:rPr>
          <w:rFonts w:ascii="Times New Roman" w:hAnsi="Times New Roman"/>
          <w:color w:val="auto"/>
          <w:sz w:val="28"/>
          <w:szCs w:val="28"/>
          <w:highlight w:val="none"/>
          <w:u w:val="single"/>
        </w:rPr>
        <w:t>设计施工图范围内的施工准备阶段、施工阶段及质量保修阶段的监理。</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2.2  总监理工程师和从事工程监理及相关服务工作的主要人员名单（见本项目中标人的投标文件）。</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监理人派驻到工程所在地进行监理服务的监理人员，应能够胜任监理合同约定的监理服务工作，监理人配备的重要监理岗位人员职称、专业、年龄、资格、资历、业绩、数量等须满足《建设工程监理规范》（GBT50319-2013）、监理招标文件和监理投标文件的规定</w:t>
      </w:r>
      <w:r>
        <w:rPr>
          <w:rFonts w:hint="eastAsia" w:ascii="Times New Roman" w:hAnsi="Times New Roman"/>
          <w:color w:val="auto"/>
          <w:sz w:val="28"/>
          <w:szCs w:val="28"/>
          <w:highlight w:val="none"/>
        </w:rPr>
        <w:t>；</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（2）总监理工程师和专业监理工程师未经委托人同意不得擅自调整和更换，必须按监理招标文件、监理投标文件规定人员到位，否则委托人给予监理人监理费总价</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%的处罚，直至符合要求；当专业监理工程师与招、投标时监理人承诺的人员不一致时，每位专业监理工程师给予监理费总价的</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%的处罚，直至符合要求；</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（3）委托人有权在合同实施期间对监理人进行人员出勤考核，监理人必须</w:t>
      </w:r>
      <w:r>
        <w:rPr>
          <w:rFonts w:hint="eastAsia" w:ascii="Times New Roman" w:hAnsi="Times New Roman"/>
          <w:color w:val="auto"/>
          <w:sz w:val="28"/>
          <w:szCs w:val="28"/>
          <w:highlight w:val="none"/>
        </w:rPr>
        <w:t>按照</w:t>
      </w:r>
      <w:r>
        <w:rPr>
          <w:rFonts w:ascii="Times New Roman" w:hAnsi="Times New Roman"/>
          <w:color w:val="auto"/>
          <w:sz w:val="28"/>
          <w:szCs w:val="28"/>
          <w:highlight w:val="none"/>
        </w:rPr>
        <w:t>投标文件规定保证所有监理人员常驻工地；委托人对其进行不定期检查，如未达到要求，则有权对监理人处以</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元/人/次的违约金。</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w:t>
      </w:r>
      <w:r>
        <w:rPr>
          <w:rFonts w:hint="eastAsia" w:ascii="Times New Roman" w:hAnsi="Times New Roman"/>
          <w:color w:val="auto"/>
          <w:sz w:val="28"/>
          <w:szCs w:val="28"/>
          <w:highlight w:val="none"/>
        </w:rPr>
        <w:t>4</w:t>
      </w:r>
      <w:r>
        <w:rPr>
          <w:rFonts w:ascii="Times New Roman" w:hAnsi="Times New Roman"/>
          <w:color w:val="auto"/>
          <w:sz w:val="28"/>
          <w:szCs w:val="28"/>
          <w:highlight w:val="none"/>
        </w:rPr>
        <w:t>）委托人可根据项目需要，要求</w:t>
      </w:r>
      <w:r>
        <w:rPr>
          <w:rFonts w:hint="eastAsia" w:ascii="Times New Roman" w:hAnsi="Times New Roman"/>
          <w:color w:val="auto"/>
          <w:sz w:val="28"/>
          <w:szCs w:val="28"/>
          <w:highlight w:val="none"/>
        </w:rPr>
        <w:t>拟任本项目</w:t>
      </w:r>
      <w:r>
        <w:rPr>
          <w:rFonts w:ascii="Times New Roman" w:hAnsi="Times New Roman"/>
          <w:color w:val="auto"/>
          <w:sz w:val="28"/>
          <w:szCs w:val="28"/>
          <w:highlight w:val="none"/>
        </w:rPr>
        <w:t>专业监理工程师或监理员</w:t>
      </w:r>
      <w:r>
        <w:rPr>
          <w:rFonts w:hint="eastAsia" w:ascii="Times New Roman" w:hAnsi="Times New Roman"/>
          <w:color w:val="auto"/>
          <w:sz w:val="28"/>
          <w:szCs w:val="28"/>
          <w:highlight w:val="none"/>
        </w:rPr>
        <w:t>按进度分批进场</w:t>
      </w:r>
      <w:r>
        <w:rPr>
          <w:rFonts w:ascii="Times New Roman" w:hAnsi="Times New Roman"/>
          <w:color w:val="auto"/>
          <w:sz w:val="28"/>
          <w:szCs w:val="28"/>
          <w:highlight w:val="none"/>
        </w:rPr>
        <w:t>。</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（5）</w:t>
      </w:r>
      <w:r>
        <w:rPr>
          <w:rFonts w:hint="eastAsia" w:ascii="Times New Roman" w:hAnsi="Times New Roman"/>
          <w:color w:val="auto"/>
          <w:sz w:val="28"/>
          <w:szCs w:val="28"/>
          <w:highlight w:val="none"/>
        </w:rPr>
        <w:t>本合同未</w:t>
      </w:r>
      <w:r>
        <w:rPr>
          <w:rFonts w:ascii="Times New Roman" w:hAnsi="Times New Roman"/>
          <w:color w:val="auto"/>
          <w:sz w:val="28"/>
          <w:szCs w:val="28"/>
          <w:highlight w:val="none"/>
        </w:rPr>
        <w:t>注明第一委托人或第二委托人时</w:t>
      </w:r>
      <w:r>
        <w:rPr>
          <w:rFonts w:hint="eastAsia" w:ascii="Times New Roman" w:hAnsi="Times New Roman"/>
          <w:color w:val="auto"/>
          <w:sz w:val="28"/>
          <w:szCs w:val="28"/>
          <w:highlight w:val="none"/>
        </w:rPr>
        <w:t>，</w:t>
      </w:r>
      <w:r>
        <w:rPr>
          <w:rFonts w:ascii="Times New Roman" w:hAnsi="Times New Roman"/>
          <w:color w:val="auto"/>
          <w:sz w:val="28"/>
          <w:szCs w:val="28"/>
          <w:highlight w:val="none"/>
        </w:rPr>
        <w:t>委托人均指第一委托人和第二委托人。</w:t>
      </w:r>
    </w:p>
    <w:p>
      <w:pPr>
        <w:widowControl/>
        <w:spacing w:after="120" w:afterLines="50" w:line="520" w:lineRule="exact"/>
        <w:ind w:firstLine="560" w:firstLineChars="200"/>
        <w:rPr>
          <w:rFonts w:ascii="Times New Roman" w:hAnsi="Times New Roman"/>
          <w:color w:val="auto"/>
          <w:kern w:val="0"/>
          <w:sz w:val="28"/>
          <w:szCs w:val="28"/>
          <w:highlight w:val="none"/>
        </w:rPr>
      </w:pPr>
      <w:r>
        <w:rPr>
          <w:rFonts w:ascii="Times New Roman" w:hAnsi="Times New Roman"/>
          <w:color w:val="auto"/>
          <w:sz w:val="28"/>
          <w:szCs w:val="28"/>
          <w:highlight w:val="none"/>
        </w:rPr>
        <w:t>2.4  三方约定报告的种类、时间和份数，</w:t>
      </w:r>
      <w:r>
        <w:rPr>
          <w:rFonts w:ascii="Times New Roman" w:hAnsi="Times New Roman"/>
          <w:color w:val="auto"/>
          <w:kern w:val="0"/>
          <w:sz w:val="28"/>
          <w:szCs w:val="28"/>
          <w:highlight w:val="none"/>
        </w:rPr>
        <w:t>包括监理规划、监理月报及专用条件中约定的专项报告。</w:t>
      </w:r>
    </w:p>
    <w:p>
      <w:pPr>
        <w:widowControl/>
        <w:spacing w:after="120" w:afterLines="50" w:line="520" w:lineRule="exact"/>
        <w:ind w:firstLine="560" w:firstLineChars="200"/>
        <w:rPr>
          <w:rFonts w:ascii="Times New Roman" w:hAnsi="Times New Roman"/>
          <w:color w:val="auto"/>
          <w:sz w:val="28"/>
          <w:szCs w:val="28"/>
          <w:highlight w:val="none"/>
          <w:u w:val="single"/>
        </w:rPr>
      </w:pPr>
      <w:r>
        <w:rPr>
          <w:rFonts w:ascii="Times New Roman" w:hAnsi="Times New Roman"/>
          <w:color w:val="auto"/>
          <w:sz w:val="28"/>
          <w:szCs w:val="28"/>
          <w:highlight w:val="none"/>
        </w:rPr>
        <w:t xml:space="preserve">3.4  </w:t>
      </w:r>
      <w:r>
        <w:rPr>
          <w:rFonts w:hint="eastAsia" w:ascii="Times New Roman" w:hAnsi="Times New Roman"/>
          <w:color w:val="auto"/>
          <w:sz w:val="28"/>
          <w:szCs w:val="28"/>
          <w:highlight w:val="none"/>
        </w:rPr>
        <w:t>第一</w:t>
      </w:r>
      <w:r>
        <w:rPr>
          <w:rFonts w:ascii="Times New Roman" w:hAnsi="Times New Roman"/>
          <w:color w:val="auto"/>
          <w:sz w:val="28"/>
          <w:szCs w:val="28"/>
          <w:highlight w:val="none"/>
        </w:rPr>
        <w:t>委托人的代表为</w:t>
      </w:r>
      <w:r>
        <w:rPr>
          <w:rFonts w:ascii="Times New Roman" w:hAnsi="Times New Roman"/>
          <w:color w:val="auto"/>
          <w:sz w:val="28"/>
          <w:szCs w:val="28"/>
          <w:highlight w:val="none"/>
          <w:u w:val="single"/>
        </w:rPr>
        <w:t xml:space="preserve">      </w:t>
      </w:r>
      <w:r>
        <w:rPr>
          <w:rFonts w:hint="eastAsia" w:ascii="Times New Roman" w:hAnsi="Times New Roman"/>
          <w:color w:val="auto"/>
          <w:sz w:val="28"/>
          <w:szCs w:val="28"/>
          <w:highlight w:val="none"/>
        </w:rPr>
        <w:t>，第二</w:t>
      </w:r>
      <w:r>
        <w:rPr>
          <w:rFonts w:ascii="Times New Roman" w:hAnsi="Times New Roman"/>
          <w:color w:val="auto"/>
          <w:sz w:val="28"/>
          <w:szCs w:val="28"/>
          <w:highlight w:val="none"/>
        </w:rPr>
        <w:t>委托人的代表为</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3.6  委托人应当在</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天内，就受托人书面提交并要求作出决定的一切事宜作出书面决定。</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kern w:val="0"/>
          <w:sz w:val="28"/>
          <w:szCs w:val="28"/>
          <w:highlight w:val="none"/>
        </w:rPr>
        <w:t xml:space="preserve">4.1.2  </w:t>
      </w:r>
      <w:r>
        <w:rPr>
          <w:rFonts w:ascii="Times New Roman" w:hAnsi="Times New Roman"/>
          <w:color w:val="auto"/>
          <w:sz w:val="28"/>
          <w:szCs w:val="28"/>
          <w:highlight w:val="none"/>
        </w:rPr>
        <w:t>监理人的违约责任：</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1）监理人要认真做好工程结算审核工作，如监理审核金额与委托人审核结果超过5%以上（含5%），则按监理费结算价的</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%扣减监理人酬金；</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2）开工之日前，监理人必须组建好项目监理机构，编制好监理规划，配备好监理人员，否则计不良记录一次（该不良记录将影响监理人今后在委托人建设项目中投标人的信誉得分），并处合同金额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3）开工后三日内，监理人投入到本工程的监理人员的相关证件原件必须按相关文件备案，而且监理人必须在施工现场明显位置设置标明监理项目名称、监理人全称、总监和监理工程师姓名和联系电话等信息内容的公告牌，否则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4）监理人员工作时应配戴工作帽以方便识别，否则计不良记录一次（该不良记录将影响监理人今后在委托人建设项目中投标人的信誉得分），并处合同金额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5）总监理工程师及其他监理人员不能再承担其他工程监理工作，否则计不良记录一次（该不良记录将影响监理人今后在委托人建设项目中投标人的信誉得分），并处合同金额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元的违约金，并限三日内整改或予以更换；</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6）开工后三日内，监理人工作用房等设施必须满足开展监理工作要求，否则计不良记录一次（该不良记录将影响监理人今后在委托人建设项目中投标人的信誉得分），并处合同金额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7）监理人办公室应存放完整齐全的基础资料，包括施工招投标文件及合同，监理合同，监理规划及监理细则、设计变更文件、施工组织设计文件、相关技术规范标准等，否则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8）监理人应按照有关规范落实工程质量监理责任，发现监理签认有不合格材料、构、配件和设备用于工程的或监理签认的工序、单位工程质量不合格的或监理发现质量问题未能有效制止且未向有关部门及时反映的，更换相关人员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元的违约金。工程出现质量事故，计不良记录一次（该不良记录将影响监理人今后在委托人建设项目中投标人的信誉得分），并处合同金额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元的违约金，责令7日内整改；</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9）因监理人原因造成工程进度缓慢，计不良记录一次（该不良记录将影响监理人今后在委托人建设项目中投标人的信誉得分），并处合同金额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10）经监理审核的计量月报，出现多计或超计，委托人审减率超过5%的，计不良记录一次（该不良记录将影响监理人今后在委托人建设项目中投标人的信誉得分），并处合同金额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11）监理人应坚持廉政监理，不能使用除委托人规定以外的施工单位提供的用房和车辆，不能和施工单位同吃同住，不能接受施工单位的宴请、现金或有价证券，不能到施工单位报销票据。一经发现，责令整改并更换相关人员，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12）设计变更必须由委托人、设计人、监理人、财政等部门以会议的形式共同认可后才能实施。签证必须按照实事求是的原则由委托人和监理人共同签认，否则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13）工程监理资料应该按照相关规定及时收集、整理、归档和保存。监理人对资料的真实性负责，发现虚假资料，计不良记录一次（该不良记录将影响监理人今后在委托人建设项目中投标人的信誉得分），并处合同金额</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%且不低于</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元的违约金；</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14）监理人总监每周组织主持召开周例会，对每周的施工、监理工作进行总结并部署下周工作。不组织会议或不参加会议的，委托人给予每次</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元处罚；</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15）监理人的行为、职责必须符合监理规范，否则其行为均为监理人违约；</w:t>
      </w:r>
    </w:p>
    <w:p>
      <w:pPr>
        <w:widowControl/>
        <w:spacing w:line="520" w:lineRule="exact"/>
        <w:ind w:firstLine="560" w:firstLineChars="200"/>
        <w:jc w:val="left"/>
        <w:rPr>
          <w:rFonts w:ascii="Times New Roman" w:hAnsi="Times New Roman"/>
          <w:color w:val="auto"/>
          <w:sz w:val="28"/>
          <w:szCs w:val="28"/>
          <w:highlight w:val="none"/>
        </w:rPr>
      </w:pPr>
      <w:r>
        <w:rPr>
          <w:rFonts w:ascii="Times New Roman" w:hAnsi="Times New Roman"/>
          <w:color w:val="auto"/>
          <w:sz w:val="28"/>
          <w:szCs w:val="28"/>
          <w:highlight w:val="none"/>
        </w:rPr>
        <w:t>16）委托人对监理工作管理过程中，根据国家现行法律、法规、行业规范、合同规定及项目现场实际情况，对监理人涉及工程进度、工程质量、安全文明施工、计量计价、工程变更、工程结算、内业资料、旁站要求、进场退场、上下班时间、会务制度、监理职责等相关工作进行定期、不定期和日常检查，发现没有达到合同要求，没有履行监理职责要求的，委托人视情节予以</w:t>
      </w:r>
      <w:r>
        <w:rPr>
          <w:rFonts w:hint="eastAsia" w:ascii="Times New Roman" w:hAnsi="Times New Roman"/>
          <w:color w:val="auto"/>
          <w:sz w:val="28"/>
          <w:szCs w:val="28"/>
          <w:highlight w:val="none"/>
          <w:u w:val="single"/>
          <w:lang w:val="en-US" w:eastAsia="zh-CN"/>
        </w:rPr>
        <w:t xml:space="preserve">   </w:t>
      </w:r>
      <w:r>
        <w:rPr>
          <w:rFonts w:ascii="Times New Roman" w:hAnsi="Times New Roman"/>
          <w:color w:val="auto"/>
          <w:sz w:val="28"/>
          <w:szCs w:val="28"/>
          <w:highlight w:val="none"/>
        </w:rPr>
        <w:t>万元/次经济处罚，直至整改符合合同要求为止。违约金以现金形式交委托人财务后才拔付当月监理费（如有处罚的情况下）。</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4.3监理人在监理服务期间内应保障委托人免于承受任何监理人员死亡或受伤和任何财产损失或损坏的责任，不承担与上述各方面有关的索赔、诉讼、赔偿费，诉讼费用和开支等。</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5.5  本工程保修期间，委托人是否委托监理人承担相关服务义务，三方在此约定。</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6.4  奖励办法应约定计算奖励金额的比率为</w:t>
      </w:r>
      <w:r>
        <w:rPr>
          <w:rFonts w:ascii="Times New Roman" w:hAnsi="Times New Roman"/>
          <w:color w:val="auto"/>
          <w:sz w:val="28"/>
          <w:szCs w:val="28"/>
          <w:highlight w:val="none"/>
          <w:u w:val="single"/>
        </w:rPr>
        <w:t xml:space="preserve">  / </w:t>
      </w:r>
      <w:r>
        <w:rPr>
          <w:rFonts w:ascii="Times New Roman" w:hAnsi="Times New Roman"/>
          <w:color w:val="auto"/>
          <w:sz w:val="28"/>
          <w:szCs w:val="28"/>
          <w:highlight w:val="none"/>
        </w:rPr>
        <w:t>。</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奖励金额=工程费用节省额×约定的奖励比率</w:t>
      </w:r>
    </w:p>
    <w:p>
      <w:pPr>
        <w:widowControl/>
        <w:spacing w:after="120" w:after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7.5  委托人要求监理人进行的材料和设备检测所发生的费用应由</w:t>
      </w:r>
      <w:r>
        <w:rPr>
          <w:rFonts w:ascii="Times New Roman" w:hAnsi="Times New Roman"/>
          <w:color w:val="auto"/>
          <w:sz w:val="28"/>
          <w:szCs w:val="28"/>
          <w:highlight w:val="none"/>
          <w:u w:val="single"/>
        </w:rPr>
        <w:t xml:space="preserve"> 监理人 </w:t>
      </w:r>
      <w:r>
        <w:rPr>
          <w:rFonts w:ascii="Times New Roman" w:hAnsi="Times New Roman"/>
          <w:color w:val="auto"/>
          <w:sz w:val="28"/>
          <w:szCs w:val="28"/>
          <w:highlight w:val="none"/>
        </w:rPr>
        <w:t>支付。</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8.3  三方约定合同争议的最终解决方式为</w:t>
      </w:r>
      <w:r>
        <w:rPr>
          <w:rFonts w:ascii="Times New Roman" w:hAnsi="Times New Roman"/>
          <w:color w:val="auto"/>
          <w:sz w:val="28"/>
          <w:szCs w:val="28"/>
          <w:highlight w:val="none"/>
          <w:u w:val="single"/>
        </w:rPr>
        <w:t xml:space="preserve">  2  </w:t>
      </w:r>
      <w:r>
        <w:rPr>
          <w:rFonts w:ascii="Times New Roman" w:hAnsi="Times New Roman"/>
          <w:color w:val="auto"/>
          <w:sz w:val="28"/>
          <w:szCs w:val="28"/>
          <w:highlight w:val="none"/>
        </w:rPr>
        <w:t>。</w:t>
      </w:r>
    </w:p>
    <w:p>
      <w:pPr>
        <w:widowControl/>
        <w:spacing w:line="520" w:lineRule="exact"/>
        <w:ind w:firstLine="560" w:firstLineChars="200"/>
        <w:rPr>
          <w:rFonts w:ascii="Times New Roman" w:hAnsi="Times New Roman"/>
          <w:color w:val="auto"/>
          <w:sz w:val="28"/>
          <w:szCs w:val="28"/>
          <w:highlight w:val="none"/>
        </w:rPr>
      </w:pPr>
      <w:r>
        <w:rPr>
          <w:rFonts w:hint="eastAsia" w:ascii="Times New Roman" w:hAnsi="Times New Roman"/>
          <w:color w:val="auto"/>
          <w:sz w:val="28"/>
          <w:szCs w:val="28"/>
          <w:highlight w:val="none"/>
        </w:rPr>
        <w:t>（</w:t>
      </w:r>
      <w:r>
        <w:rPr>
          <w:rFonts w:ascii="Times New Roman" w:hAnsi="Times New Roman"/>
          <w:color w:val="auto"/>
          <w:sz w:val="28"/>
          <w:szCs w:val="28"/>
          <w:highlight w:val="none"/>
        </w:rPr>
        <w:t>方式1：向</w:t>
      </w:r>
      <w:r>
        <w:rPr>
          <w:rFonts w:ascii="Times New Roman" w:hAnsi="Times New Roman"/>
          <w:color w:val="auto"/>
          <w:sz w:val="28"/>
          <w:szCs w:val="28"/>
          <w:highlight w:val="none"/>
          <w:u w:val="single"/>
        </w:rPr>
        <w:t>株洲</w:t>
      </w:r>
      <w:r>
        <w:rPr>
          <w:rFonts w:ascii="Times New Roman" w:hAnsi="Times New Roman"/>
          <w:color w:val="auto"/>
          <w:sz w:val="28"/>
          <w:szCs w:val="28"/>
          <w:highlight w:val="none"/>
        </w:rPr>
        <w:t>仲裁委员会申请仲裁；方式2：向</w:t>
      </w:r>
      <w:r>
        <w:rPr>
          <w:rFonts w:hint="eastAsia" w:ascii="Times New Roman" w:hAnsi="Times New Roman"/>
          <w:color w:val="auto"/>
          <w:sz w:val="28"/>
          <w:szCs w:val="28"/>
          <w:highlight w:val="none"/>
        </w:rPr>
        <w:t>第一</w:t>
      </w:r>
      <w:r>
        <w:rPr>
          <w:rFonts w:ascii="Times New Roman" w:hAnsi="Times New Roman"/>
          <w:color w:val="auto"/>
          <w:sz w:val="28"/>
          <w:szCs w:val="28"/>
          <w:highlight w:val="none"/>
        </w:rPr>
        <w:t>委托</w:t>
      </w:r>
      <w:r>
        <w:rPr>
          <w:rFonts w:hint="eastAsia" w:ascii="Times New Roman" w:hAnsi="Times New Roman"/>
          <w:color w:val="auto"/>
          <w:sz w:val="28"/>
          <w:szCs w:val="28"/>
          <w:highlight w:val="none"/>
        </w:rPr>
        <w:t>人</w:t>
      </w:r>
      <w:r>
        <w:rPr>
          <w:rFonts w:ascii="Times New Roman" w:hAnsi="Times New Roman"/>
          <w:color w:val="auto"/>
          <w:sz w:val="28"/>
          <w:szCs w:val="28"/>
          <w:highlight w:val="none"/>
        </w:rPr>
        <w:t>所在地人民法院起诉。</w:t>
      </w:r>
      <w:r>
        <w:rPr>
          <w:rFonts w:hint="eastAsia" w:ascii="Times New Roman" w:hAnsi="Times New Roman"/>
          <w:color w:val="auto"/>
          <w:sz w:val="28"/>
          <w:szCs w:val="28"/>
          <w:highlight w:val="none"/>
        </w:rPr>
        <w:t>）</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9.试验室的资质及相应的检查项目和抽检频率：</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1）对规定重点对施工过程中使用的水泥、钢材、沥青、石灰、粉煤灰、砂砾、碎石、片石等主要原材料及各种混合料进行抽检，抽检频率不低于施工单位自检频率的20%；</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2）对已完工程实体质量的抽检频率不低于施工单位自检频率的20%；</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3）对施工单位外购或订做用于永久工程的构、配件或设备，监理工程师应要求施工单位提交产品合格证和自检报告。可采用常规仪器设备进行检测的，抽检频率不低于施工单位自检频率的20%</w:t>
      </w:r>
      <w:r>
        <w:rPr>
          <w:rFonts w:hint="eastAsia" w:ascii="Times New Roman" w:hAnsi="Times New Roman"/>
          <w:color w:val="auto"/>
          <w:sz w:val="28"/>
          <w:szCs w:val="28"/>
          <w:highlight w:val="none"/>
        </w:rPr>
        <w:t>；</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4）由监理人选定具有相应检测资质的第三方检测机构，并报</w:t>
      </w:r>
      <w:r>
        <w:rPr>
          <w:rFonts w:hint="eastAsia" w:ascii="Times New Roman" w:hAnsi="Times New Roman"/>
          <w:color w:val="auto"/>
          <w:sz w:val="28"/>
          <w:szCs w:val="28"/>
          <w:highlight w:val="none"/>
        </w:rPr>
        <w:t>委托人</w:t>
      </w:r>
      <w:r>
        <w:rPr>
          <w:rFonts w:ascii="Times New Roman" w:hAnsi="Times New Roman"/>
          <w:color w:val="auto"/>
          <w:sz w:val="28"/>
          <w:szCs w:val="28"/>
          <w:highlight w:val="none"/>
        </w:rPr>
        <w:t>审查，审查合格后，由</w:t>
      </w:r>
      <w:r>
        <w:rPr>
          <w:rFonts w:hint="eastAsia" w:ascii="Times New Roman" w:hAnsi="Times New Roman"/>
          <w:color w:val="auto"/>
          <w:sz w:val="28"/>
          <w:szCs w:val="28"/>
          <w:highlight w:val="none"/>
        </w:rPr>
        <w:t>第二委托人</w:t>
      </w:r>
      <w:r>
        <w:rPr>
          <w:rFonts w:ascii="Times New Roman" w:hAnsi="Times New Roman"/>
          <w:color w:val="auto"/>
          <w:sz w:val="28"/>
          <w:szCs w:val="28"/>
          <w:highlight w:val="none"/>
        </w:rPr>
        <w:t>与第三方检测机构签订委托合同，</w:t>
      </w:r>
      <w:r>
        <w:rPr>
          <w:rFonts w:hint="eastAsia" w:ascii="Times New Roman" w:hAnsi="Times New Roman"/>
          <w:color w:val="auto"/>
          <w:sz w:val="28"/>
          <w:szCs w:val="28"/>
          <w:highlight w:val="none"/>
        </w:rPr>
        <w:t>第二委托人</w:t>
      </w:r>
      <w:r>
        <w:rPr>
          <w:rFonts w:ascii="Times New Roman" w:hAnsi="Times New Roman"/>
          <w:color w:val="auto"/>
          <w:sz w:val="28"/>
          <w:szCs w:val="28"/>
          <w:highlight w:val="none"/>
        </w:rPr>
        <w:t>作为出资人向第三方检测机构支付相应检测费用。</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10.项目实施过程中，若政府相关部门出具新的计量、计价文件及质量、管理、投资进度等规定，则本合同将根据最新文件规定执行。</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11.监理必须服从委托人单位的管理，执行委托人下发的关于工程建设管理的各类文件，委托人把关于《株洲市清水塘投资（集团）有限公司工程项目管理实施细则（试行）的通知》（株清发司字【2017】32文）作为本合同的专用条款。该规定与本协议有相悖之处，以本协议为准。</w:t>
      </w:r>
    </w:p>
    <w:p>
      <w:pPr>
        <w:widowControl/>
        <w:spacing w:line="520" w:lineRule="exact"/>
        <w:rPr>
          <w:rFonts w:ascii="Times New Roman" w:hAnsi="Times New Roman"/>
          <w:bCs/>
          <w:color w:val="auto"/>
          <w:sz w:val="44"/>
          <w:szCs w:val="44"/>
          <w:highlight w:val="none"/>
        </w:rPr>
      </w:pPr>
      <w:r>
        <w:rPr>
          <w:rFonts w:ascii="Times New Roman" w:hAnsi="Times New Roman"/>
          <w:b/>
          <w:bCs/>
          <w:color w:val="auto"/>
          <w:sz w:val="28"/>
          <w:szCs w:val="28"/>
          <w:highlight w:val="none"/>
        </w:rPr>
        <w:br w:type="page"/>
      </w:r>
      <w:r>
        <w:rPr>
          <w:rFonts w:ascii="Times New Roman" w:hAnsi="Times New Roman"/>
          <w:b/>
          <w:bCs/>
          <w:color w:val="auto"/>
          <w:sz w:val="28"/>
          <w:szCs w:val="28"/>
          <w:highlight w:val="none"/>
        </w:rPr>
        <w:t xml:space="preserve">              </w:t>
      </w:r>
      <w:r>
        <w:rPr>
          <w:rFonts w:ascii="Times New Roman" w:hAnsi="Times New Roman"/>
          <w:bCs/>
          <w:color w:val="auto"/>
          <w:sz w:val="44"/>
          <w:szCs w:val="44"/>
          <w:highlight w:val="none"/>
        </w:rPr>
        <w:t>附录A  服务范围和内容</w:t>
      </w:r>
    </w:p>
    <w:p>
      <w:pPr>
        <w:widowControl/>
        <w:spacing w:line="500" w:lineRule="exact"/>
        <w:ind w:firstLine="562" w:firstLineChars="200"/>
        <w:rPr>
          <w:rFonts w:ascii="Times New Roman" w:hAnsi="Times New Roman"/>
          <w:color w:val="auto"/>
          <w:kern w:val="0"/>
          <w:sz w:val="28"/>
          <w:szCs w:val="28"/>
          <w:highlight w:val="none"/>
        </w:rPr>
      </w:pPr>
      <w:r>
        <w:rPr>
          <w:rFonts w:ascii="Times New Roman" w:hAnsi="Times New Roman"/>
          <w:b/>
          <w:color w:val="auto"/>
          <w:kern w:val="0"/>
          <w:sz w:val="28"/>
          <w:szCs w:val="28"/>
          <w:highlight w:val="none"/>
        </w:rPr>
        <w:t>A-1服务范围</w:t>
      </w:r>
    </w:p>
    <w:p>
      <w:pPr>
        <w:spacing w:line="5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本工程设计施工图范围内全部工程的施工准备、施工及保修阶段的监理</w:t>
      </w:r>
      <w:r>
        <w:rPr>
          <w:rFonts w:ascii="Times New Roman" w:hAnsi="Times New Roman"/>
          <w:color w:val="auto"/>
          <w:kern w:val="0"/>
          <w:sz w:val="28"/>
          <w:szCs w:val="28"/>
          <w:highlight w:val="none"/>
        </w:rPr>
        <w:t>。</w:t>
      </w:r>
    </w:p>
    <w:p>
      <w:pPr>
        <w:widowControl/>
        <w:spacing w:line="500" w:lineRule="exact"/>
        <w:ind w:firstLine="562" w:firstLineChars="200"/>
        <w:rPr>
          <w:rFonts w:ascii="Times New Roman" w:hAnsi="Times New Roman"/>
          <w:b/>
          <w:color w:val="auto"/>
          <w:sz w:val="28"/>
          <w:szCs w:val="28"/>
          <w:highlight w:val="none"/>
        </w:rPr>
      </w:pPr>
      <w:r>
        <w:rPr>
          <w:rFonts w:ascii="Times New Roman" w:hAnsi="Times New Roman"/>
          <w:b/>
          <w:color w:val="auto"/>
          <w:kern w:val="0"/>
          <w:sz w:val="28"/>
          <w:szCs w:val="28"/>
          <w:highlight w:val="none"/>
        </w:rPr>
        <w:t>A-2服务内容</w:t>
      </w:r>
    </w:p>
    <w:p>
      <w:pPr>
        <w:widowControl/>
        <w:spacing w:line="5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A-2-1 正常服务</w:t>
      </w:r>
    </w:p>
    <w:p>
      <w:pPr>
        <w:widowControl/>
        <w:spacing w:line="5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三方可在下表中打勾选择或补充，或参考下表商定具体的监理和相关服务容。</w:t>
      </w:r>
    </w:p>
    <w:tbl>
      <w:tblPr>
        <w:tblStyle w:val="18"/>
        <w:tblW w:w="900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7"/>
        <w:gridCol w:w="7542"/>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8269"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b/>
                <w:color w:val="auto"/>
                <w:szCs w:val="21"/>
                <w:highlight w:val="none"/>
              </w:rPr>
              <w:t>5. 施工阶段服务内容</w:t>
            </w:r>
          </w:p>
        </w:tc>
        <w:tc>
          <w:tcPr>
            <w:tcW w:w="731"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8269"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b/>
                <w:color w:val="auto"/>
                <w:szCs w:val="21"/>
                <w:highlight w:val="none"/>
              </w:rPr>
              <w:t>5.1施工阶段的质量控制</w:t>
            </w:r>
          </w:p>
        </w:tc>
        <w:tc>
          <w:tcPr>
            <w:tcW w:w="731"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5101</w:t>
            </w:r>
          </w:p>
        </w:tc>
        <w:tc>
          <w:tcPr>
            <w:tcW w:w="754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熟悉施工图，参加设计交底会议，提出相关建议或意见</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7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5102</w:t>
            </w:r>
          </w:p>
        </w:tc>
        <w:tc>
          <w:tcPr>
            <w:tcW w:w="754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审查和批准施工组织设计，核实并签发施工必须遵循的设计要求、采用的技术标准、技术规程规范等质量文件</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47"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5103</w:t>
            </w:r>
          </w:p>
        </w:tc>
        <w:tc>
          <w:tcPr>
            <w:tcW w:w="754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审批工程项目单位工程、分部分项工程和检验批的划分，并依据监理规划分析、调整和确定质量控制重点、质量控制工作流程和监理措施，制定质量控制的各项实施细则、规定及其它管理制度</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72"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5104</w:t>
            </w:r>
          </w:p>
        </w:tc>
        <w:tc>
          <w:tcPr>
            <w:tcW w:w="754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检查督促承包人建立健全适合于本工程的质量管理体系，并能切实发挥作用，督促承包人进行全面质量管理工作</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0"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5105</w:t>
            </w:r>
          </w:p>
        </w:tc>
        <w:tc>
          <w:tcPr>
            <w:tcW w:w="754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协助委托人移交与项目施工有关的测量控制网点；审查承包人提交的测量实施报告，并依据监理规范要求检查和复合有关测量成果</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7"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5106</w:t>
            </w:r>
          </w:p>
        </w:tc>
        <w:tc>
          <w:tcPr>
            <w:tcW w:w="754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审查承包人自建的试验室或委托试验的试验室；审查批准承包人按合同规定进行的材料、工艺试验及确定各项施工参数的试验</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77"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5107</w:t>
            </w:r>
          </w:p>
        </w:tc>
        <w:tc>
          <w:tcPr>
            <w:tcW w:w="754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审查进场工程材料的质量证明文件及承包人按有关规定进行的试验检测结果。必要时，监理人可按合同约定进行一定数量的抽样检测试验</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50"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5108</w:t>
            </w:r>
          </w:p>
        </w:tc>
        <w:tc>
          <w:tcPr>
            <w:tcW w:w="754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对施工质量进行全过程的监督管理，在加强现场管理工作的前提下对重要部位、隐蔽工程和关键工序应采取旁站监理；对施工质量情况及时做好记录和统计工作，对发现质量问题的施工现场及时进行拍照或录相</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6"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5109</w:t>
            </w:r>
          </w:p>
        </w:tc>
        <w:tc>
          <w:tcPr>
            <w:tcW w:w="754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组织或参与质量事故的调查，审批事故处理方案，并监督质量事故的处理</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bl>
    <w:p>
      <w:pPr>
        <w:widowControl/>
        <w:spacing w:line="520" w:lineRule="exact"/>
        <w:jc w:val="left"/>
        <w:rPr>
          <w:rFonts w:ascii="Times New Roman" w:hAnsi="Times New Roman"/>
          <w:color w:val="auto"/>
          <w:sz w:val="28"/>
          <w:szCs w:val="28"/>
          <w:highlight w:val="none"/>
        </w:rPr>
      </w:pPr>
    </w:p>
    <w:tbl>
      <w:tblPr>
        <w:tblStyle w:val="18"/>
        <w:tblW w:w="90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7"/>
        <w:gridCol w:w="7544"/>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0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5110</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组织并主持定期或不定期的质量检查会和分析会，分析、通报施工质量情况，协调有关单位间的施工活动以消除影响质量的各种外部干扰因素</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3"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5111</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对工程项目的检验批、分部分项工程、单位工程等及时进行施工质量验收和质量评定工作</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5112</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审查竣工资料，组织竣工预验收</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5113</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参与委托人组织的竣工验收，提交质量评估报告</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8271"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b/>
                <w:color w:val="auto"/>
                <w:szCs w:val="21"/>
                <w:highlight w:val="none"/>
              </w:rPr>
              <w:t>5.2施工阶段的投资控制</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5201</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配合委托人进行施工图预算评审</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5202</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审核、分析施工图预算单价</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5203</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审核承包人编制的年度、季度、月度资金使用计划并控制其执行</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1"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5204</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利用专业投资控制软件每月进行投资计划值与实际值的比较，并提供各种报表</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5205</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工程付款审核</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8"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b/>
                <w:color w:val="auto"/>
                <w:szCs w:val="21"/>
                <w:highlight w:val="none"/>
              </w:rPr>
              <w:t>5206</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kern w:val="0"/>
                <w:szCs w:val="21"/>
                <w:highlight w:val="none"/>
              </w:rPr>
            </w:pPr>
            <w:r>
              <w:rPr>
                <w:rFonts w:ascii="Times New Roman" w:hAnsi="Times New Roman"/>
                <w:color w:val="auto"/>
                <w:szCs w:val="21"/>
                <w:highlight w:val="none"/>
              </w:rPr>
              <w:t>审核其它付款申请单</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5207</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审核及处理各项施工索赔中与资金有关的事宜</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8271"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b/>
                <w:color w:val="auto"/>
                <w:szCs w:val="21"/>
                <w:highlight w:val="none"/>
              </w:rPr>
              <w:t>5.3施工阶段的进度控制</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5301</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熟悉合同文件中有关进度的条款</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5302</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审核、分析承包人的进度计划</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70"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5303</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审核施工总进度计划，并在项目施工过程中控制其执行，必要时，及时调整施工总进度</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8"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5304</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审核项目施工各阶段、年、季、月度的进度计划，并控制其执行，必要时作调整</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70"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5305</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在项目实施过程中，用计算机进行进度计划值与实际值的比较，每月、季、年提交各种进度控制报告</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8271"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b/>
                <w:color w:val="auto"/>
                <w:szCs w:val="21"/>
                <w:highlight w:val="none"/>
              </w:rPr>
              <w:t>5.4施工阶段的合同管理</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5401</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b/>
                <w:color w:val="auto"/>
                <w:szCs w:val="21"/>
                <w:highlight w:val="none"/>
              </w:rPr>
            </w:pPr>
            <w:r>
              <w:rPr>
                <w:rFonts w:ascii="Times New Roman" w:hAnsi="Times New Roman"/>
                <w:color w:val="auto"/>
                <w:szCs w:val="21"/>
                <w:highlight w:val="none"/>
              </w:rPr>
              <w:t>合理划分子项目，明确各子项目的范围</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5402</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b/>
                <w:color w:val="auto"/>
                <w:szCs w:val="21"/>
                <w:highlight w:val="none"/>
              </w:rPr>
            </w:pPr>
            <w:r>
              <w:rPr>
                <w:rFonts w:ascii="Times New Roman" w:hAnsi="Times New Roman"/>
                <w:color w:val="auto"/>
                <w:szCs w:val="21"/>
                <w:highlight w:val="none"/>
              </w:rPr>
              <w:t>确定项目的合同结构，绘制项目合同结构图</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5403</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b/>
                <w:color w:val="auto"/>
                <w:szCs w:val="21"/>
                <w:highlight w:val="none"/>
              </w:rPr>
            </w:pPr>
            <w:r>
              <w:rPr>
                <w:rFonts w:ascii="Times New Roman" w:hAnsi="Times New Roman"/>
                <w:color w:val="auto"/>
                <w:szCs w:val="21"/>
                <w:highlight w:val="none"/>
              </w:rPr>
              <w:t>协助委托方处理有关索赔事宜，并处理合同纠纷</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5404</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b/>
                <w:color w:val="auto"/>
                <w:szCs w:val="21"/>
                <w:highlight w:val="none"/>
              </w:rPr>
            </w:pPr>
            <w:r>
              <w:rPr>
                <w:rFonts w:ascii="Times New Roman" w:hAnsi="Times New Roman"/>
                <w:color w:val="auto"/>
                <w:szCs w:val="21"/>
                <w:highlight w:val="none"/>
              </w:rPr>
              <w:t>进行各类合同的跟踪管理并定期提供合同管理的各种报告</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8271"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b/>
                <w:color w:val="auto"/>
                <w:szCs w:val="21"/>
                <w:highlight w:val="none"/>
              </w:rPr>
              <w:t>5.5施工阶段的信息管理</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5501</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进行各种工程信息的收集、整理、存档</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5502</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定期提供各类工程项目管理报表</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5503</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建立工程会议制度</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5504</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督促各施工单位整理工程技术资料</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8271"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b/>
                <w:color w:val="auto"/>
                <w:szCs w:val="21"/>
                <w:highlight w:val="none"/>
              </w:rPr>
              <w:t>5.6施工阶段的组织与协调</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5601</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检查施工许可等手续的办理情况，向委托人提交检查报告</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5602</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审查工程开工条件，检查施工前的各项准备工作</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5603</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复核和审查施工单位、分包单位以及材料、设备、构配件等供应单位的资格</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5604</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组织、协调委托人与施工单位之间的关系</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8271"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b/>
                <w:color w:val="auto"/>
                <w:szCs w:val="21"/>
                <w:highlight w:val="none"/>
              </w:rPr>
              <w:t>5.7施工阶段的风险管理</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5701</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制订风险管理策略</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5702</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在合同中采取有利的反索赔方案</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5603</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制订合理的工程保险投保方案</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5704</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工程变更管理</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5705</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协助处理索赔及反索赔事宜</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5706</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协助处理与保险有关的事宜</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8271"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b/>
                <w:color w:val="auto"/>
                <w:szCs w:val="21"/>
                <w:highlight w:val="none"/>
              </w:rPr>
              <w:t>5.8施工阶段的现场安全文明管理</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5801</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审核施工安全专项方案、督促施工单位落实安全保证体系</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5802</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督促施工单位履行施工安全、文明保障义务</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5803</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组织工地安全检查</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5804</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制订项目委托人方的应急措施</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5805</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协助处理安全事故</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5806</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组织工地卫生及文明施工检查</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5807</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协调处理工地的各种纠纷</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5808</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组织落实工地的保卫及产品保护工作</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8271"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b/>
                <w:color w:val="auto"/>
                <w:szCs w:val="21"/>
                <w:highlight w:val="none"/>
              </w:rPr>
              <w:t>6、</w:t>
            </w:r>
            <w:r>
              <w:rPr>
                <w:rFonts w:ascii="Times New Roman" w:hAnsi="Times New Roman"/>
                <w:b/>
                <w:color w:val="auto"/>
                <w:kern w:val="0"/>
                <w:szCs w:val="21"/>
                <w:highlight w:val="none"/>
              </w:rPr>
              <w:t>采购监造阶段服务内容</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6101</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依据工程项目的施工总进度计划，协助委托人编制永久工程设备采购招标进度计划</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6102</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kern w:val="0"/>
                <w:szCs w:val="21"/>
                <w:highlight w:val="none"/>
              </w:rPr>
            </w:pPr>
            <w:r>
              <w:rPr>
                <w:rFonts w:ascii="Times New Roman" w:hAnsi="Times New Roman"/>
                <w:color w:val="auto"/>
                <w:kern w:val="0"/>
                <w:szCs w:val="21"/>
                <w:highlight w:val="none"/>
              </w:rPr>
              <w:t>协助委托人进行永久工程设备采购招标设计及招标文件的审查工作，并参加招标、评标及合同谈判工作</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6103</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kern w:val="0"/>
                <w:szCs w:val="21"/>
                <w:highlight w:val="none"/>
              </w:rPr>
            </w:pPr>
            <w:r>
              <w:rPr>
                <w:rFonts w:ascii="Times New Roman" w:hAnsi="Times New Roman"/>
                <w:color w:val="auto"/>
                <w:kern w:val="0"/>
                <w:szCs w:val="21"/>
                <w:highlight w:val="none"/>
              </w:rPr>
              <w:t>管理采购合同，并对采购计划进度进行监督与控制</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6104</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kern w:val="0"/>
                <w:szCs w:val="21"/>
                <w:highlight w:val="none"/>
              </w:rPr>
            </w:pPr>
            <w:r>
              <w:rPr>
                <w:rFonts w:ascii="Times New Roman" w:hAnsi="Times New Roman"/>
                <w:color w:val="auto"/>
                <w:kern w:val="0"/>
                <w:szCs w:val="21"/>
                <w:highlight w:val="none"/>
              </w:rPr>
              <w:t>代表委托人对永久工程设备及主要零部件的生产质量和进度等进行监督、管理、控制和协调</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6105</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kern w:val="0"/>
                <w:szCs w:val="21"/>
                <w:highlight w:val="none"/>
              </w:rPr>
            </w:pPr>
            <w:r>
              <w:rPr>
                <w:rFonts w:ascii="Times New Roman" w:hAnsi="Times New Roman"/>
                <w:color w:val="auto"/>
                <w:kern w:val="0"/>
                <w:szCs w:val="21"/>
                <w:highlight w:val="none"/>
              </w:rPr>
              <w:t>代表委托人组织永久工程设备出厂验收</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6106</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kern w:val="0"/>
                <w:szCs w:val="21"/>
                <w:highlight w:val="none"/>
              </w:rPr>
            </w:pPr>
            <w:r>
              <w:rPr>
                <w:rFonts w:ascii="Times New Roman" w:hAnsi="Times New Roman"/>
                <w:color w:val="auto"/>
                <w:kern w:val="0"/>
                <w:szCs w:val="21"/>
                <w:highlight w:val="none"/>
              </w:rPr>
              <w:t>核查永久工程设备实际到货进度是否符合采购合同要求和工程进度要求，必要时，应向委托人提出设备到货进度的调整意见</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6107</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kern w:val="0"/>
                <w:szCs w:val="21"/>
                <w:highlight w:val="none"/>
              </w:rPr>
            </w:pPr>
            <w:r>
              <w:rPr>
                <w:rFonts w:ascii="Times New Roman" w:hAnsi="Times New Roman"/>
                <w:color w:val="auto"/>
                <w:kern w:val="0"/>
                <w:szCs w:val="21"/>
                <w:highlight w:val="none"/>
              </w:rPr>
              <w:t>记录和整理安装调试中发现的设备制造缺陷和质量问题，提出处理建议，协助委托人与供货单位谈判交涉</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6108</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kern w:val="0"/>
                <w:szCs w:val="21"/>
                <w:highlight w:val="none"/>
              </w:rPr>
            </w:pPr>
            <w:r>
              <w:rPr>
                <w:rFonts w:ascii="Times New Roman" w:hAnsi="Times New Roman"/>
                <w:color w:val="auto"/>
                <w:kern w:val="0"/>
                <w:szCs w:val="21"/>
                <w:highlight w:val="none"/>
              </w:rPr>
              <w:t>代表委托人协调设备供货人与承包人之间的关系</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7" w:hRule="exact"/>
        </w:trPr>
        <w:tc>
          <w:tcPr>
            <w:tcW w:w="8271"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kern w:val="0"/>
                <w:szCs w:val="21"/>
                <w:highlight w:val="none"/>
              </w:rPr>
            </w:pPr>
            <w:r>
              <w:rPr>
                <w:rFonts w:ascii="Times New Roman" w:hAnsi="Times New Roman"/>
                <w:b/>
                <w:color w:val="auto"/>
                <w:szCs w:val="21"/>
                <w:highlight w:val="none"/>
              </w:rPr>
              <w:t>7. 保修阶段服务内容</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7601</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协助委托人与施工单位签订保修协议</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7602</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制订保修阶段工作计划</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7603</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定期检查项目使用和运行情况</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06"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7604</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检查和记录工程质量缺陷，对缺陷原因进行调查分析并确定责任归属，</w:t>
            </w:r>
            <w:r>
              <w:rPr>
                <w:rFonts w:ascii="Times New Roman" w:hAnsi="Times New Roman"/>
                <w:color w:val="auto"/>
                <w:kern w:val="0"/>
                <w:szCs w:val="21"/>
                <w:highlight w:val="none"/>
              </w:rPr>
              <w:t>下达指令要求承包人进行修复</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7605</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 xml:space="preserve">审核质量缺陷修复方案，监督修复过程并进行验收 </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7606</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kern w:val="0"/>
                <w:szCs w:val="21"/>
                <w:highlight w:val="none"/>
              </w:rPr>
              <w:t>审核</w:t>
            </w:r>
            <w:r>
              <w:rPr>
                <w:rFonts w:ascii="Times New Roman" w:hAnsi="Times New Roman"/>
                <w:color w:val="auto"/>
                <w:szCs w:val="21"/>
                <w:highlight w:val="none"/>
              </w:rPr>
              <w:t>签署</w:t>
            </w:r>
            <w:r>
              <w:rPr>
                <w:rFonts w:ascii="Times New Roman" w:hAnsi="Times New Roman"/>
                <w:color w:val="auto"/>
                <w:kern w:val="0"/>
                <w:szCs w:val="21"/>
                <w:highlight w:val="none"/>
              </w:rPr>
              <w:t>修复费用，并报委托人批准支付</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7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Cs w:val="21"/>
                <w:highlight w:val="none"/>
              </w:rPr>
            </w:pPr>
            <w:r>
              <w:rPr>
                <w:rFonts w:ascii="Times New Roman" w:hAnsi="Times New Roman"/>
                <w:b/>
                <w:color w:val="auto"/>
                <w:szCs w:val="21"/>
                <w:highlight w:val="none"/>
              </w:rPr>
              <w:t>7607</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olor w:val="auto"/>
                <w:szCs w:val="21"/>
                <w:highlight w:val="none"/>
              </w:rPr>
            </w:pPr>
            <w:r>
              <w:rPr>
                <w:rFonts w:ascii="Times New Roman" w:hAnsi="Times New Roman"/>
                <w:color w:val="auto"/>
                <w:szCs w:val="21"/>
                <w:highlight w:val="none"/>
              </w:rPr>
              <w:t>整理保修阶段的各项资料</w:t>
            </w:r>
          </w:p>
        </w:tc>
        <w:tc>
          <w:tcPr>
            <w:tcW w:w="7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bl>
    <w:p>
      <w:pPr>
        <w:widowControl/>
        <w:spacing w:line="520" w:lineRule="exact"/>
        <w:ind w:firstLine="562" w:firstLineChars="200"/>
        <w:jc w:val="center"/>
        <w:rPr>
          <w:rFonts w:ascii="Times New Roman" w:hAnsi="Times New Roman"/>
          <w:b/>
          <w:color w:val="auto"/>
          <w:sz w:val="28"/>
          <w:szCs w:val="28"/>
          <w:highlight w:val="none"/>
        </w:rPr>
      </w:pPr>
    </w:p>
    <w:p>
      <w:pPr>
        <w:widowControl/>
        <w:spacing w:line="520" w:lineRule="exact"/>
        <w:ind w:firstLine="562" w:firstLineChars="200"/>
        <w:rPr>
          <w:rFonts w:ascii="Times New Roman" w:hAnsi="Times New Roman"/>
          <w:b/>
          <w:color w:val="auto"/>
          <w:sz w:val="28"/>
          <w:szCs w:val="28"/>
          <w:highlight w:val="none"/>
        </w:rPr>
      </w:pPr>
    </w:p>
    <w:p>
      <w:pPr>
        <w:widowControl/>
        <w:spacing w:line="520" w:lineRule="exact"/>
        <w:ind w:firstLine="562" w:firstLineChars="200"/>
        <w:rPr>
          <w:rFonts w:ascii="Times New Roman" w:hAnsi="Times New Roman"/>
          <w:b/>
          <w:color w:val="auto"/>
          <w:sz w:val="28"/>
          <w:szCs w:val="28"/>
          <w:highlight w:val="none"/>
        </w:rPr>
      </w:pPr>
    </w:p>
    <w:p>
      <w:pPr>
        <w:widowControl/>
        <w:spacing w:line="520" w:lineRule="exact"/>
        <w:ind w:firstLine="562" w:firstLineChars="200"/>
        <w:rPr>
          <w:rFonts w:ascii="Times New Roman" w:hAnsi="Times New Roman"/>
          <w:b/>
          <w:color w:val="auto"/>
          <w:sz w:val="28"/>
          <w:szCs w:val="28"/>
          <w:highlight w:val="none"/>
        </w:rPr>
      </w:pPr>
    </w:p>
    <w:p>
      <w:pPr>
        <w:widowControl/>
        <w:spacing w:line="520" w:lineRule="exact"/>
        <w:ind w:firstLine="562" w:firstLineChars="200"/>
        <w:jc w:val="center"/>
        <w:rPr>
          <w:rFonts w:ascii="Times New Roman" w:hAnsi="Times New Roman"/>
          <w:color w:val="auto"/>
          <w:sz w:val="44"/>
          <w:szCs w:val="44"/>
          <w:highlight w:val="none"/>
        </w:rPr>
      </w:pPr>
      <w:r>
        <w:rPr>
          <w:rFonts w:ascii="Times New Roman" w:hAnsi="Times New Roman"/>
          <w:b/>
          <w:color w:val="auto"/>
          <w:sz w:val="28"/>
          <w:szCs w:val="28"/>
          <w:highlight w:val="none"/>
        </w:rPr>
        <w:br w:type="page"/>
      </w:r>
      <w:r>
        <w:rPr>
          <w:rFonts w:ascii="Times New Roman" w:hAnsi="Times New Roman"/>
          <w:color w:val="auto"/>
          <w:sz w:val="44"/>
          <w:szCs w:val="44"/>
          <w:highlight w:val="none"/>
        </w:rPr>
        <w:t>附录B  委托人提供的人员、设备和设施</w:t>
      </w:r>
    </w:p>
    <w:p>
      <w:pPr>
        <w:widowControl/>
        <w:spacing w:line="520" w:lineRule="exact"/>
        <w:ind w:firstLine="562" w:firstLineChars="200"/>
        <w:rPr>
          <w:rFonts w:ascii="Times New Roman" w:hAnsi="Times New Roman"/>
          <w:b/>
          <w:color w:val="auto"/>
          <w:sz w:val="28"/>
          <w:szCs w:val="28"/>
          <w:highlight w:val="none"/>
        </w:rPr>
      </w:pPr>
      <w:r>
        <w:rPr>
          <w:rFonts w:ascii="Times New Roman" w:hAnsi="Times New Roman"/>
          <w:b/>
          <w:color w:val="auto"/>
          <w:sz w:val="28"/>
          <w:szCs w:val="28"/>
          <w:highlight w:val="none"/>
        </w:rPr>
        <w:t>B-1   委托人提供的房屋、设施与物品及提供时间</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根据合同通用的约定，委托人单位向监理人提供下列设备、设施和服务：</w:t>
      </w:r>
    </w:p>
    <w:p>
      <w:pPr>
        <w:widowControl/>
        <w:numPr>
          <w:ilvl w:val="0"/>
          <w:numId w:val="8"/>
        </w:numPr>
        <w:tabs>
          <w:tab w:val="left" w:pos="900"/>
          <w:tab w:val="left" w:pos="920"/>
          <w:tab w:val="left" w:pos="1202"/>
        </w:tabs>
        <w:spacing w:line="520" w:lineRule="exact"/>
        <w:ind w:firstLine="562" w:firstLineChars="200"/>
        <w:rPr>
          <w:rFonts w:ascii="Times New Roman" w:hAnsi="Times New Roman"/>
          <w:b/>
          <w:color w:val="auto"/>
          <w:sz w:val="28"/>
          <w:szCs w:val="28"/>
          <w:highlight w:val="none"/>
        </w:rPr>
      </w:pPr>
      <w:r>
        <w:rPr>
          <w:rFonts w:ascii="Times New Roman" w:hAnsi="Times New Roman"/>
          <w:b/>
          <w:color w:val="auto"/>
          <w:sz w:val="28"/>
          <w:szCs w:val="28"/>
          <w:highlight w:val="none"/>
        </w:rPr>
        <w:t>委托人提供的设施</w:t>
      </w:r>
    </w:p>
    <w:tbl>
      <w:tblPr>
        <w:tblStyle w:val="1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名称</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数量</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面积</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rPr>
                <w:rFonts w:ascii="Times New Roman" w:hAnsi="Times New Roman"/>
                <w:b/>
                <w:color w:val="auto"/>
                <w:sz w:val="24"/>
                <w:szCs w:val="28"/>
                <w:highlight w:val="none"/>
              </w:rPr>
            </w:pPr>
            <w:r>
              <w:rPr>
                <w:rFonts w:ascii="Times New Roman" w:hAnsi="Times New Roman"/>
                <w:b/>
                <w:color w:val="auto"/>
                <w:sz w:val="24"/>
                <w:szCs w:val="28"/>
                <w:highlight w:val="none"/>
              </w:rPr>
              <w:t>1.办公用房</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0</w:t>
            </w:r>
          </w:p>
        </w:tc>
        <w:tc>
          <w:tcPr>
            <w:tcW w:w="2322" w:type="dxa"/>
            <w:tcBorders>
              <w:top w:val="single" w:color="auto" w:sz="4" w:space="0"/>
              <w:left w:val="single" w:color="auto" w:sz="4" w:space="0"/>
              <w:bottom w:val="single" w:color="auto" w:sz="4" w:space="0"/>
              <w:right w:val="single" w:color="auto" w:sz="4" w:space="0"/>
            </w:tcBorders>
          </w:tcPr>
          <w:p>
            <w:pPr>
              <w:widowControl/>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rPr>
                <w:rFonts w:ascii="Times New Roman" w:hAnsi="Times New Roman"/>
                <w:b/>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rPr>
                <w:rFonts w:ascii="Times New Roman" w:hAnsi="Times New Roman"/>
                <w:b/>
                <w:color w:val="auto"/>
                <w:sz w:val="24"/>
                <w:szCs w:val="28"/>
                <w:highlight w:val="none"/>
              </w:rPr>
            </w:pPr>
            <w:r>
              <w:rPr>
                <w:rFonts w:ascii="Times New Roman" w:hAnsi="Times New Roman"/>
                <w:b/>
                <w:color w:val="auto"/>
                <w:sz w:val="24"/>
                <w:szCs w:val="28"/>
                <w:highlight w:val="none"/>
              </w:rPr>
              <w:t>2.生活用房</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0</w:t>
            </w:r>
          </w:p>
        </w:tc>
        <w:tc>
          <w:tcPr>
            <w:tcW w:w="2322" w:type="dxa"/>
            <w:tcBorders>
              <w:top w:val="single" w:color="auto" w:sz="4" w:space="0"/>
              <w:left w:val="single" w:color="auto" w:sz="4" w:space="0"/>
              <w:bottom w:val="single" w:color="auto" w:sz="4" w:space="0"/>
              <w:right w:val="single" w:color="auto" w:sz="4" w:space="0"/>
            </w:tcBorders>
          </w:tcPr>
          <w:p>
            <w:pPr>
              <w:widowControl/>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rPr>
                <w:rFonts w:ascii="Times New Roman" w:hAnsi="Times New Roman"/>
                <w:b/>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rPr>
                <w:rFonts w:ascii="Times New Roman" w:hAnsi="Times New Roman"/>
                <w:b/>
                <w:color w:val="auto"/>
                <w:sz w:val="24"/>
                <w:szCs w:val="28"/>
                <w:highlight w:val="none"/>
              </w:rPr>
            </w:pPr>
            <w:r>
              <w:rPr>
                <w:rFonts w:ascii="Times New Roman" w:hAnsi="Times New Roman"/>
                <w:b/>
                <w:color w:val="auto"/>
                <w:sz w:val="24"/>
                <w:szCs w:val="28"/>
                <w:highlight w:val="none"/>
              </w:rPr>
              <w:t>3.餐饮条件</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0</w:t>
            </w:r>
          </w:p>
        </w:tc>
        <w:tc>
          <w:tcPr>
            <w:tcW w:w="2322" w:type="dxa"/>
            <w:tcBorders>
              <w:top w:val="single" w:color="auto" w:sz="4" w:space="0"/>
              <w:left w:val="single" w:color="auto" w:sz="4" w:space="0"/>
              <w:bottom w:val="single" w:color="auto" w:sz="4" w:space="0"/>
              <w:right w:val="single" w:color="auto" w:sz="4" w:space="0"/>
            </w:tcBorders>
          </w:tcPr>
          <w:p>
            <w:pPr>
              <w:widowControl/>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rPr>
                <w:rFonts w:ascii="Times New Roman" w:hAnsi="Times New Roman"/>
                <w:b/>
                <w:color w:val="auto"/>
                <w:sz w:val="24"/>
                <w:szCs w:val="28"/>
                <w:highlight w:val="none"/>
              </w:rPr>
            </w:pPr>
          </w:p>
        </w:tc>
      </w:tr>
    </w:tbl>
    <w:p>
      <w:pPr>
        <w:widowControl/>
        <w:spacing w:line="520" w:lineRule="exact"/>
        <w:ind w:firstLine="562" w:firstLineChars="200"/>
        <w:rPr>
          <w:rFonts w:ascii="Times New Roman" w:hAnsi="Times New Roman"/>
          <w:b/>
          <w:color w:val="auto"/>
          <w:sz w:val="28"/>
          <w:szCs w:val="28"/>
          <w:highlight w:val="none"/>
        </w:rPr>
      </w:pPr>
    </w:p>
    <w:p>
      <w:pPr>
        <w:widowControl/>
        <w:spacing w:line="520" w:lineRule="exact"/>
        <w:ind w:firstLine="562" w:firstLineChars="200"/>
        <w:rPr>
          <w:rFonts w:ascii="Times New Roman" w:hAnsi="Times New Roman"/>
          <w:b/>
          <w:color w:val="auto"/>
          <w:sz w:val="28"/>
          <w:szCs w:val="28"/>
          <w:highlight w:val="none"/>
        </w:rPr>
      </w:pPr>
      <w:r>
        <w:rPr>
          <w:rFonts w:ascii="Times New Roman" w:hAnsi="Times New Roman"/>
          <w:b/>
          <w:color w:val="auto"/>
          <w:sz w:val="28"/>
          <w:szCs w:val="28"/>
          <w:highlight w:val="none"/>
        </w:rPr>
        <w:t>（2）委托人提供的设备清单</w:t>
      </w:r>
    </w:p>
    <w:tbl>
      <w:tblPr>
        <w:tblStyle w:val="1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名称</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数量</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spacing w:line="520" w:lineRule="exact"/>
              <w:ind w:firstLine="482" w:firstLineChars="200"/>
              <w:jc w:val="center"/>
              <w:rPr>
                <w:rFonts w:ascii="Times New Roman" w:hAnsi="Times New Roman"/>
                <w:b/>
                <w:color w:val="auto"/>
                <w:sz w:val="24"/>
                <w:szCs w:val="28"/>
                <w:highlight w:val="none"/>
              </w:rPr>
            </w:pPr>
            <w:r>
              <w:rPr>
                <w:rFonts w:ascii="Times New Roman" w:hAnsi="Times New Roman"/>
                <w:b/>
                <w:color w:val="auto"/>
                <w:sz w:val="24"/>
                <w:szCs w:val="28"/>
                <w:highlight w:val="none"/>
              </w:rPr>
              <w:t>型号与规格</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spacing w:line="520" w:lineRule="exact"/>
              <w:ind w:firstLine="482" w:firstLineChars="200"/>
              <w:jc w:val="center"/>
              <w:rPr>
                <w:rFonts w:ascii="Times New Roman" w:hAnsi="Times New Roman"/>
                <w:b/>
                <w:color w:val="auto"/>
                <w:sz w:val="24"/>
                <w:szCs w:val="28"/>
                <w:highlight w:val="none"/>
              </w:rPr>
            </w:pPr>
            <w:r>
              <w:rPr>
                <w:rFonts w:ascii="Times New Roman" w:hAnsi="Times New Roman"/>
                <w:b/>
                <w:color w:val="auto"/>
                <w:sz w:val="24"/>
                <w:szCs w:val="28"/>
                <w:highlight w:val="none"/>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1.通讯设备</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0</w:t>
            </w: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2.办公家具及设备</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0</w:t>
            </w: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3.交通工具</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0</w:t>
            </w: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4.检测和实验设备</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0</w:t>
            </w: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r>
    </w:tbl>
    <w:p>
      <w:pPr>
        <w:widowControl/>
        <w:spacing w:line="520" w:lineRule="exact"/>
        <w:ind w:firstLine="562" w:firstLineChars="200"/>
        <w:rPr>
          <w:rFonts w:ascii="Times New Roman" w:hAnsi="Times New Roman"/>
          <w:b/>
          <w:color w:val="auto"/>
          <w:sz w:val="28"/>
          <w:szCs w:val="28"/>
          <w:highlight w:val="none"/>
        </w:rPr>
      </w:pPr>
    </w:p>
    <w:p>
      <w:pPr>
        <w:widowControl/>
        <w:spacing w:line="520" w:lineRule="exact"/>
        <w:ind w:firstLine="562" w:firstLineChars="200"/>
        <w:rPr>
          <w:rFonts w:ascii="Times New Roman" w:hAnsi="Times New Roman"/>
          <w:b/>
          <w:color w:val="auto"/>
          <w:sz w:val="28"/>
          <w:szCs w:val="28"/>
          <w:highlight w:val="none"/>
        </w:rPr>
      </w:pPr>
      <w:r>
        <w:rPr>
          <w:rFonts w:ascii="Times New Roman" w:hAnsi="Times New Roman"/>
          <w:b/>
          <w:color w:val="auto"/>
          <w:sz w:val="28"/>
          <w:szCs w:val="28"/>
          <w:highlight w:val="none"/>
        </w:rPr>
        <w:t>（3）委托人提供的人员</w:t>
      </w:r>
    </w:p>
    <w:tbl>
      <w:tblPr>
        <w:tblStyle w:val="1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名称</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数量</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要求</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1.工程技术人员</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0</w:t>
            </w: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2.辅助人员</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0</w:t>
            </w: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321"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3.服务人员</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0</w:t>
            </w: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r>
    </w:tbl>
    <w:p>
      <w:pPr>
        <w:widowControl/>
        <w:jc w:val="center"/>
        <w:rPr>
          <w:rFonts w:ascii="Times New Roman" w:hAnsi="Times New Roman"/>
          <w:b/>
          <w:color w:val="auto"/>
          <w:sz w:val="28"/>
          <w:szCs w:val="28"/>
          <w:highlight w:val="none"/>
        </w:rPr>
      </w:pPr>
    </w:p>
    <w:p>
      <w:pPr>
        <w:widowControl/>
        <w:spacing w:line="520" w:lineRule="exact"/>
        <w:ind w:firstLine="562" w:firstLineChars="200"/>
        <w:rPr>
          <w:rFonts w:ascii="Times New Roman" w:hAnsi="Times New Roman"/>
          <w:b/>
          <w:color w:val="auto"/>
          <w:sz w:val="28"/>
          <w:szCs w:val="28"/>
          <w:highlight w:val="none"/>
        </w:rPr>
      </w:pPr>
      <w:r>
        <w:rPr>
          <w:rFonts w:ascii="Times New Roman" w:hAnsi="Times New Roman"/>
          <w:b/>
          <w:color w:val="auto"/>
          <w:sz w:val="28"/>
          <w:szCs w:val="28"/>
          <w:highlight w:val="none"/>
        </w:rPr>
        <w:t>B-2  委托人提供的资料</w:t>
      </w:r>
    </w:p>
    <w:tbl>
      <w:tblPr>
        <w:tblStyle w:val="1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名称</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份数</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时间</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1.施工承包合同</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1</w:t>
            </w: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2.涉及文件及图纸</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1</w:t>
            </w: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3.水文、地质资料</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1</w:t>
            </w: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r>
              <w:rPr>
                <w:rFonts w:ascii="Times New Roman" w:hAnsi="Times New Roman"/>
                <w:b/>
                <w:color w:val="auto"/>
                <w:sz w:val="24"/>
                <w:szCs w:val="28"/>
                <w:highlight w:val="none"/>
              </w:rPr>
              <w:t>4.其他相关文件</w:t>
            </w:r>
          </w:p>
        </w:tc>
        <w:tc>
          <w:tcPr>
            <w:tcW w:w="23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c>
          <w:tcPr>
            <w:tcW w:w="2322"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b/>
                <w:color w:val="auto"/>
                <w:sz w:val="24"/>
                <w:szCs w:val="28"/>
                <w:highlight w:val="none"/>
              </w:rPr>
            </w:pPr>
          </w:p>
        </w:tc>
      </w:tr>
    </w:tbl>
    <w:p>
      <w:pPr>
        <w:widowControl/>
        <w:spacing w:line="520" w:lineRule="exact"/>
        <w:ind w:firstLine="562" w:firstLineChars="200"/>
        <w:rPr>
          <w:rFonts w:ascii="Times New Roman" w:hAnsi="Times New Roman"/>
          <w:b/>
          <w:color w:val="auto"/>
          <w:sz w:val="28"/>
          <w:szCs w:val="28"/>
          <w:highlight w:val="none"/>
        </w:rPr>
      </w:pPr>
      <w:r>
        <w:rPr>
          <w:rFonts w:ascii="Times New Roman" w:hAnsi="Times New Roman"/>
          <w:b/>
          <w:color w:val="auto"/>
          <w:sz w:val="28"/>
          <w:szCs w:val="28"/>
          <w:highlight w:val="none"/>
        </w:rPr>
        <w:t>B-3  委托人自备的设备</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（1）监理人自备的设备、物品及进场时间</w:t>
      </w:r>
    </w:p>
    <w:p>
      <w:pPr>
        <w:widowControl/>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（2）监理人自备的、委托人给予补偿的设施及补偿金额的约定。</w:t>
      </w:r>
    </w:p>
    <w:p>
      <w:pPr>
        <w:widowControl/>
        <w:spacing w:line="520" w:lineRule="exact"/>
        <w:ind w:firstLine="562" w:firstLineChars="200"/>
        <w:jc w:val="center"/>
        <w:rPr>
          <w:rFonts w:ascii="Times New Roman" w:hAnsi="Times New Roman"/>
          <w:b/>
          <w:bCs/>
          <w:color w:val="auto"/>
          <w:sz w:val="28"/>
          <w:szCs w:val="28"/>
          <w:highlight w:val="none"/>
        </w:rPr>
      </w:pPr>
    </w:p>
    <w:p>
      <w:pPr>
        <w:widowControl/>
        <w:spacing w:line="520" w:lineRule="exact"/>
        <w:ind w:firstLine="880" w:firstLineChars="200"/>
        <w:jc w:val="center"/>
        <w:rPr>
          <w:rFonts w:ascii="Times New Roman" w:hAnsi="Times New Roman"/>
          <w:bCs/>
          <w:color w:val="auto"/>
          <w:sz w:val="44"/>
          <w:szCs w:val="44"/>
          <w:highlight w:val="none"/>
        </w:rPr>
      </w:pPr>
      <w:r>
        <w:rPr>
          <w:rFonts w:ascii="Times New Roman" w:hAnsi="Times New Roman"/>
          <w:bCs/>
          <w:color w:val="auto"/>
          <w:sz w:val="44"/>
          <w:szCs w:val="44"/>
          <w:highlight w:val="none"/>
        </w:rPr>
        <w:br w:type="page"/>
      </w:r>
      <w:r>
        <w:rPr>
          <w:rFonts w:ascii="Times New Roman" w:hAnsi="Times New Roman"/>
          <w:bCs/>
          <w:color w:val="auto"/>
          <w:sz w:val="44"/>
          <w:szCs w:val="44"/>
          <w:highlight w:val="none"/>
        </w:rPr>
        <w:t>附录C  收费金额和支付</w:t>
      </w:r>
    </w:p>
    <w:p>
      <w:pPr>
        <w:widowControl/>
        <w:spacing w:before="120" w:beforeLines="50" w:line="520" w:lineRule="exact"/>
        <w:ind w:firstLine="562" w:firstLineChars="200"/>
        <w:rPr>
          <w:rFonts w:ascii="Times New Roman" w:hAnsi="Times New Roman"/>
          <w:b/>
          <w:color w:val="auto"/>
          <w:sz w:val="28"/>
          <w:szCs w:val="28"/>
          <w:highlight w:val="none"/>
          <w:u w:val="single"/>
        </w:rPr>
      </w:pPr>
      <w:r>
        <w:rPr>
          <w:rFonts w:ascii="Times New Roman" w:hAnsi="Times New Roman"/>
          <w:b/>
          <w:color w:val="auto"/>
          <w:sz w:val="28"/>
          <w:szCs w:val="28"/>
          <w:highlight w:val="none"/>
        </w:rPr>
        <w:t xml:space="preserve"> 1.正常服务收费计取和支付</w:t>
      </w:r>
    </w:p>
    <w:p>
      <w:pPr>
        <w:widowControl/>
        <w:spacing w:before="120" w:beforeLines="50" w:line="520" w:lineRule="exact"/>
        <w:ind w:firstLine="562" w:firstLineChars="200"/>
        <w:rPr>
          <w:rFonts w:ascii="Times New Roman" w:hAnsi="Times New Roman"/>
          <w:color w:val="auto"/>
          <w:sz w:val="28"/>
          <w:szCs w:val="28"/>
          <w:highlight w:val="none"/>
          <w:u w:val="single"/>
        </w:rPr>
      </w:pPr>
      <w:r>
        <w:rPr>
          <w:rFonts w:ascii="Times New Roman" w:hAnsi="Times New Roman"/>
          <w:b/>
          <w:color w:val="auto"/>
          <w:sz w:val="28"/>
          <w:szCs w:val="28"/>
          <w:highlight w:val="none"/>
        </w:rPr>
        <w:t>1.1施工监理服务收费计取及支付</w:t>
      </w:r>
    </w:p>
    <w:p>
      <w:pPr>
        <w:widowControl/>
        <w:spacing w:before="120" w:beforeLines="50" w:line="520" w:lineRule="exact"/>
        <w:ind w:firstLine="560" w:firstLineChars="200"/>
        <w:rPr>
          <w:rFonts w:ascii="Times New Roman" w:hAnsi="Times New Roman"/>
          <w:b/>
          <w:color w:val="auto"/>
          <w:sz w:val="28"/>
          <w:szCs w:val="28"/>
          <w:highlight w:val="none"/>
        </w:rPr>
      </w:pPr>
      <w:r>
        <w:rPr>
          <w:rFonts w:ascii="Times New Roman" w:hAnsi="Times New Roman"/>
          <w:color w:val="auto"/>
          <w:sz w:val="28"/>
          <w:szCs w:val="28"/>
          <w:highlight w:val="none"/>
        </w:rPr>
        <w:t xml:space="preserve">1.1.1 </w:t>
      </w:r>
      <w:r>
        <w:rPr>
          <w:rFonts w:ascii="Times New Roman" w:hAnsi="Times New Roman"/>
          <w:b/>
          <w:color w:val="auto"/>
          <w:sz w:val="28"/>
          <w:szCs w:val="28"/>
          <w:highlight w:val="none"/>
        </w:rPr>
        <w:t>施工监理服务收费计取</w:t>
      </w:r>
    </w:p>
    <w:p>
      <w:pPr>
        <w:widowControl/>
        <w:spacing w:before="120" w:beforeLines="50"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三方商定，本工程的施工监理收费计取按</w:t>
      </w:r>
      <w:r>
        <w:rPr>
          <w:rFonts w:hint="eastAsia" w:ascii="Times New Roman" w:hAnsi="Times New Roman"/>
          <w:color w:val="auto"/>
          <w:sz w:val="28"/>
          <w:szCs w:val="28"/>
          <w:highlight w:val="none"/>
        </w:rPr>
        <w:t>监理人</w:t>
      </w:r>
      <w:r>
        <w:rPr>
          <w:rFonts w:ascii="Times New Roman" w:hAnsi="Times New Roman"/>
          <w:color w:val="auto"/>
          <w:sz w:val="28"/>
          <w:szCs w:val="28"/>
          <w:highlight w:val="none"/>
        </w:rPr>
        <w:t>的中标价包干</w:t>
      </w:r>
      <w:r>
        <w:rPr>
          <w:rFonts w:hint="eastAsia" w:ascii="Times New Roman" w:hAnsi="Times New Roman"/>
          <w:color w:val="auto"/>
          <w:sz w:val="28"/>
          <w:szCs w:val="28"/>
          <w:highlight w:val="none"/>
        </w:rPr>
        <w:t>。</w:t>
      </w:r>
    </w:p>
    <w:p>
      <w:pPr>
        <w:widowControl/>
        <w:spacing w:before="120" w:beforeLines="50" w:line="520" w:lineRule="exact"/>
        <w:ind w:firstLine="560" w:firstLineChars="200"/>
        <w:rPr>
          <w:rFonts w:ascii="Times New Roman" w:hAnsi="Times New Roman"/>
          <w:b/>
          <w:color w:val="auto"/>
          <w:sz w:val="28"/>
          <w:szCs w:val="28"/>
          <w:highlight w:val="none"/>
        </w:rPr>
      </w:pPr>
      <w:r>
        <w:rPr>
          <w:rFonts w:ascii="Times New Roman" w:hAnsi="Times New Roman"/>
          <w:color w:val="auto"/>
          <w:sz w:val="28"/>
          <w:szCs w:val="28"/>
          <w:highlight w:val="none"/>
        </w:rPr>
        <w:t>本工程施工监理服务收费基价（内容包括施工设计图范围内的所有项目）暂估为</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万元，（其中设购置费为</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万元，联合试运转费为</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万元），监理包</w:t>
      </w:r>
      <w:r>
        <w:rPr>
          <w:rFonts w:hint="eastAsia" w:ascii="Times New Roman" w:hAnsi="Times New Roman"/>
          <w:color w:val="auto"/>
          <w:sz w:val="28"/>
          <w:szCs w:val="28"/>
          <w:highlight w:val="none"/>
        </w:rPr>
        <w:t>干费</w:t>
      </w:r>
      <w:r>
        <w:rPr>
          <w:rFonts w:ascii="Times New Roman" w:hAnsi="Times New Roman"/>
          <w:color w:val="auto"/>
          <w:sz w:val="28"/>
          <w:szCs w:val="28"/>
          <w:highlight w:val="none"/>
        </w:rPr>
        <w:t>为人民币</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元（含税价）（大写：</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元）</w:t>
      </w:r>
      <w:r>
        <w:rPr>
          <w:rFonts w:hint="eastAsia" w:ascii="Times New Roman" w:hAnsi="Times New Roman"/>
          <w:color w:val="auto"/>
          <w:sz w:val="28"/>
          <w:szCs w:val="28"/>
          <w:highlight w:val="none"/>
        </w:rPr>
        <w:t>。</w:t>
      </w:r>
    </w:p>
    <w:p>
      <w:pPr>
        <w:widowControl/>
        <w:numPr>
          <w:ilvl w:val="0"/>
          <w:numId w:val="9"/>
        </w:numPr>
        <w:spacing w:before="120" w:beforeLines="50" w:line="520" w:lineRule="exact"/>
        <w:ind w:firstLine="562" w:firstLineChars="200"/>
        <w:rPr>
          <w:rFonts w:ascii="Times New Roman" w:hAnsi="Times New Roman"/>
          <w:b/>
          <w:color w:val="auto"/>
          <w:sz w:val="28"/>
          <w:szCs w:val="28"/>
          <w:highlight w:val="none"/>
        </w:rPr>
      </w:pPr>
      <w:r>
        <w:rPr>
          <w:rFonts w:ascii="Times New Roman" w:hAnsi="Times New Roman"/>
          <w:b/>
          <w:color w:val="auto"/>
          <w:sz w:val="28"/>
          <w:szCs w:val="28"/>
          <w:highlight w:val="none"/>
        </w:rPr>
        <w:t>监理服务收费金额的调整</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hint="eastAsia" w:ascii="Times New Roman" w:hAnsi="Times New Roman"/>
          <w:color w:val="auto"/>
          <w:sz w:val="28"/>
          <w:szCs w:val="28"/>
          <w:highlight w:val="none"/>
        </w:rPr>
        <w:t>（</w:t>
      </w:r>
      <w:r>
        <w:rPr>
          <w:rFonts w:hint="eastAsia" w:ascii="Times New Roman" w:hAnsi="Times New Roman"/>
          <w:color w:val="auto"/>
          <w:sz w:val="28"/>
          <w:szCs w:val="28"/>
          <w:highlight w:val="none"/>
          <w:lang w:val="en-US" w:eastAsia="zh-CN"/>
        </w:rPr>
        <w:t>1</w:t>
      </w:r>
      <w:r>
        <w:rPr>
          <w:rFonts w:hint="eastAsia" w:ascii="Times New Roman" w:hAnsi="Times New Roman"/>
          <w:color w:val="auto"/>
          <w:sz w:val="28"/>
          <w:szCs w:val="28"/>
          <w:highlight w:val="none"/>
        </w:rPr>
        <w:t>）</w:t>
      </w:r>
      <w:r>
        <w:rPr>
          <w:rFonts w:ascii="Times New Roman" w:hAnsi="Times New Roman"/>
          <w:color w:val="auto"/>
          <w:sz w:val="28"/>
          <w:szCs w:val="28"/>
          <w:highlight w:val="none"/>
        </w:rPr>
        <w:t>支付方式与支付内容</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第二委托人按月向监理人支付监理服务费。监理人于每月20日前将上月监理服务费支付申请上报</w:t>
      </w:r>
      <w:r>
        <w:rPr>
          <w:rFonts w:hint="eastAsia" w:ascii="Times New Roman" w:hAnsi="Times New Roman"/>
          <w:color w:val="auto"/>
          <w:sz w:val="28"/>
          <w:szCs w:val="28"/>
          <w:highlight w:val="none"/>
        </w:rPr>
        <w:t>第二</w:t>
      </w:r>
      <w:r>
        <w:rPr>
          <w:rFonts w:ascii="Times New Roman" w:hAnsi="Times New Roman"/>
          <w:color w:val="auto"/>
          <w:sz w:val="28"/>
          <w:szCs w:val="28"/>
          <w:highlight w:val="none"/>
        </w:rPr>
        <w:t>委托人审核</w:t>
      </w:r>
      <w:r>
        <w:rPr>
          <w:rFonts w:hint="eastAsia" w:ascii="Times New Roman" w:hAnsi="Times New Roman"/>
          <w:color w:val="auto"/>
          <w:sz w:val="28"/>
          <w:szCs w:val="28"/>
          <w:highlight w:val="none"/>
        </w:rPr>
        <w:t>后，报</w:t>
      </w:r>
      <w:r>
        <w:rPr>
          <w:rFonts w:ascii="Times New Roman" w:hAnsi="Times New Roman"/>
          <w:color w:val="auto"/>
          <w:sz w:val="28"/>
          <w:szCs w:val="28"/>
          <w:highlight w:val="none"/>
        </w:rPr>
        <w:t>第一委托人最终</w:t>
      </w:r>
      <w:r>
        <w:rPr>
          <w:rFonts w:hint="eastAsia" w:ascii="Times New Roman" w:hAnsi="Times New Roman"/>
          <w:color w:val="auto"/>
          <w:sz w:val="28"/>
          <w:szCs w:val="28"/>
          <w:highlight w:val="none"/>
        </w:rPr>
        <w:t>确认</w:t>
      </w:r>
      <w:r>
        <w:rPr>
          <w:rFonts w:ascii="Times New Roman" w:hAnsi="Times New Roman"/>
          <w:color w:val="auto"/>
          <w:sz w:val="28"/>
          <w:szCs w:val="28"/>
          <w:highlight w:val="none"/>
        </w:rPr>
        <w:t>。第二委托人根据</w:t>
      </w:r>
      <w:r>
        <w:rPr>
          <w:rFonts w:hint="eastAsia" w:ascii="Times New Roman" w:hAnsi="Times New Roman"/>
          <w:color w:val="auto"/>
          <w:sz w:val="28"/>
          <w:szCs w:val="28"/>
          <w:highlight w:val="none"/>
        </w:rPr>
        <w:t>第一</w:t>
      </w:r>
      <w:r>
        <w:rPr>
          <w:rFonts w:ascii="Times New Roman" w:hAnsi="Times New Roman"/>
          <w:color w:val="auto"/>
          <w:sz w:val="28"/>
          <w:szCs w:val="28"/>
          <w:highlight w:val="none"/>
        </w:rPr>
        <w:t>委托人审定的监理费支付文件，向监理人直接支付监理费，监理人根据收到的款项直接向第二委托人提供增值税专用发票。如监理人开具的发票不规范、不合法或涉嫌虚开，监理人不仅要承担赔偿责任，且不能免除其开具合法发票的义务。第二委托人未能及时向监理人支付所产生的后果由</w:t>
      </w:r>
      <w:r>
        <w:rPr>
          <w:rFonts w:hint="eastAsia" w:ascii="Times New Roman" w:hAnsi="Times New Roman"/>
          <w:color w:val="auto"/>
          <w:sz w:val="28"/>
          <w:szCs w:val="28"/>
          <w:highlight w:val="none"/>
        </w:rPr>
        <w:t>第二</w:t>
      </w:r>
      <w:r>
        <w:rPr>
          <w:rFonts w:ascii="Times New Roman" w:hAnsi="Times New Roman"/>
          <w:color w:val="auto"/>
          <w:sz w:val="28"/>
          <w:szCs w:val="28"/>
          <w:highlight w:val="none"/>
        </w:rPr>
        <w:t>委托人承担。</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A.正常监理服务费用支付：监理费进度款按委托人审定金额；</w:t>
      </w:r>
    </w:p>
    <w:p>
      <w:pPr>
        <w:widowControl/>
        <w:autoSpaceDE w:val="0"/>
        <w:autoSpaceDN w:val="0"/>
        <w:adjustRightInd w:val="0"/>
        <w:spacing w:line="52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B.</w:t>
      </w:r>
      <w:r>
        <w:rPr>
          <w:rFonts w:hint="eastAsia" w:ascii="Times New Roman" w:hAnsi="Times New Roman"/>
          <w:color w:val="auto"/>
          <w:sz w:val="28"/>
          <w:szCs w:val="28"/>
          <w:highlight w:val="none"/>
        </w:rPr>
        <w:t>施工合同工期</w:t>
      </w:r>
      <w:r>
        <w:rPr>
          <w:rFonts w:ascii="Times New Roman" w:hAnsi="Times New Roman"/>
          <w:color w:val="auto"/>
          <w:sz w:val="28"/>
          <w:szCs w:val="28"/>
          <w:highlight w:val="none"/>
        </w:rPr>
        <w:t>延长三个月内，不增加监理服务费；延期超过三个月之外的监理服务费</w:t>
      </w:r>
      <w:r>
        <w:rPr>
          <w:rFonts w:hint="eastAsia" w:ascii="Times New Roman" w:hAnsi="Times New Roman"/>
          <w:color w:val="auto"/>
          <w:sz w:val="28"/>
          <w:szCs w:val="28"/>
          <w:highlight w:val="none"/>
        </w:rPr>
        <w:t>，</w:t>
      </w:r>
      <w:r>
        <w:rPr>
          <w:rFonts w:ascii="Times New Roman" w:hAnsi="Times New Roman"/>
          <w:color w:val="auto"/>
          <w:sz w:val="28"/>
          <w:szCs w:val="28"/>
          <w:highlight w:val="none"/>
        </w:rPr>
        <w:t>三方另行协商</w:t>
      </w:r>
      <w:r>
        <w:rPr>
          <w:rFonts w:hint="eastAsia" w:ascii="Times New Roman" w:hAnsi="Times New Roman"/>
          <w:color w:val="auto"/>
          <w:sz w:val="28"/>
          <w:szCs w:val="28"/>
          <w:highlight w:val="none"/>
        </w:rPr>
        <w:t>确定</w:t>
      </w:r>
      <w:r>
        <w:rPr>
          <w:rFonts w:ascii="Times New Roman" w:hAnsi="Times New Roman"/>
          <w:color w:val="auto"/>
          <w:sz w:val="28"/>
          <w:szCs w:val="28"/>
          <w:highlight w:val="none"/>
        </w:rPr>
        <w:t>。</w:t>
      </w:r>
    </w:p>
    <w:p>
      <w:pPr>
        <w:spacing w:line="520" w:lineRule="exact"/>
        <w:ind w:firstLine="562" w:firstLineChars="200"/>
        <w:rPr>
          <w:rFonts w:ascii="Times New Roman" w:hAnsi="Times New Roman"/>
          <w:color w:val="auto"/>
          <w:sz w:val="28"/>
          <w:szCs w:val="28"/>
          <w:highlight w:val="none"/>
        </w:rPr>
      </w:pPr>
      <w:r>
        <w:rPr>
          <w:rFonts w:ascii="Times New Roman" w:hAnsi="Times New Roman"/>
          <w:b/>
          <w:color w:val="auto"/>
          <w:sz w:val="28"/>
          <w:szCs w:val="28"/>
          <w:highlight w:val="none"/>
        </w:rPr>
        <w:t>3. 支付货币和汇率：</w:t>
      </w:r>
      <w:r>
        <w:rPr>
          <w:rFonts w:ascii="Times New Roman" w:hAnsi="Times New Roman"/>
          <w:color w:val="auto"/>
          <w:sz w:val="28"/>
          <w:szCs w:val="28"/>
          <w:highlight w:val="none"/>
        </w:rPr>
        <w:t>本工程采用人民币进行结算和支付。</w:t>
      </w:r>
    </w:p>
    <w:p>
      <w:pPr>
        <w:widowControl/>
        <w:spacing w:before="120" w:beforeLines="50" w:line="520" w:lineRule="exact"/>
        <w:ind w:firstLine="560" w:firstLineChars="200"/>
        <w:rPr>
          <w:rFonts w:ascii="Times New Roman" w:hAnsi="Times New Roman"/>
          <w:color w:val="auto"/>
          <w:sz w:val="28"/>
          <w:szCs w:val="28"/>
          <w:highlight w:val="none"/>
        </w:rPr>
      </w:pPr>
    </w:p>
    <w:p>
      <w:pPr>
        <w:widowControl/>
        <w:spacing w:line="520" w:lineRule="exact"/>
        <w:ind w:firstLine="562" w:firstLineChars="200"/>
        <w:jc w:val="center"/>
        <w:rPr>
          <w:rFonts w:ascii="Times New Roman" w:hAnsi="Times New Roman"/>
          <w:color w:val="auto"/>
          <w:kern w:val="0"/>
          <w:sz w:val="44"/>
          <w:szCs w:val="44"/>
          <w:highlight w:val="none"/>
        </w:rPr>
      </w:pPr>
      <w:r>
        <w:rPr>
          <w:rFonts w:ascii="Times New Roman" w:hAnsi="Times New Roman"/>
          <w:b/>
          <w:color w:val="auto"/>
          <w:sz w:val="28"/>
          <w:szCs w:val="28"/>
          <w:highlight w:val="none"/>
        </w:rPr>
        <w:br w:type="page"/>
      </w:r>
      <w:r>
        <w:rPr>
          <w:rFonts w:ascii="Times New Roman" w:hAnsi="Times New Roman"/>
          <w:color w:val="auto"/>
          <w:sz w:val="44"/>
          <w:szCs w:val="44"/>
          <w:highlight w:val="none"/>
        </w:rPr>
        <w:t>附录D   株清发司字［2017］32号文</w:t>
      </w:r>
    </w:p>
    <w:p>
      <w:pPr>
        <w:widowControl/>
        <w:spacing w:line="520" w:lineRule="exact"/>
        <w:jc w:val="left"/>
        <w:rPr>
          <w:rFonts w:ascii="Times New Roman" w:hAnsi="Times New Roman"/>
          <w:color w:val="auto"/>
          <w:kern w:val="0"/>
          <w:sz w:val="28"/>
          <w:szCs w:val="28"/>
          <w:highlight w:val="none"/>
        </w:rPr>
      </w:pPr>
      <w:r>
        <w:rPr>
          <w:rFonts w:hint="eastAsia" w:ascii="Times New Roman" w:hAnsi="Times New Roman"/>
          <w:color w:val="auto"/>
          <w:kern w:val="0"/>
          <w:sz w:val="28"/>
          <w:szCs w:val="28"/>
          <w:highlight w:val="none"/>
        </w:rPr>
        <w:drawing>
          <wp:anchor distT="0" distB="0" distL="114300" distR="114300" simplePos="0" relativeHeight="251657216" behindDoc="0" locked="0" layoutInCell="1" allowOverlap="1">
            <wp:simplePos x="0" y="0"/>
            <wp:positionH relativeFrom="margin">
              <wp:posOffset>233045</wp:posOffset>
            </wp:positionH>
            <wp:positionV relativeFrom="margin">
              <wp:posOffset>489585</wp:posOffset>
            </wp:positionV>
            <wp:extent cx="5282565" cy="747458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82565" cy="7474585"/>
                    </a:xfrm>
                    <a:prstGeom prst="rect">
                      <a:avLst/>
                    </a:prstGeom>
                    <a:noFill/>
                    <a:ln>
                      <a:noFill/>
                    </a:ln>
                  </pic:spPr>
                </pic:pic>
              </a:graphicData>
            </a:graphic>
          </wp:anchor>
        </w:drawing>
      </w:r>
    </w:p>
    <w:p>
      <w:pPr>
        <w:widowControl/>
        <w:spacing w:before="120" w:beforeLines="50" w:line="520" w:lineRule="exact"/>
        <w:rPr>
          <w:rFonts w:ascii="Times New Roman" w:hAnsi="Times New Roman"/>
          <w:b/>
          <w:color w:val="auto"/>
          <w:sz w:val="28"/>
          <w:szCs w:val="28"/>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r>
        <w:rPr>
          <w:rFonts w:hint="eastAsia"/>
          <w:color w:val="auto"/>
          <w:highlight w:val="none"/>
        </w:rPr>
        <w:drawing>
          <wp:anchor distT="0" distB="0" distL="114300" distR="114300" simplePos="0" relativeHeight="251660288" behindDoc="0" locked="0" layoutInCell="1" allowOverlap="1">
            <wp:simplePos x="0" y="0"/>
            <wp:positionH relativeFrom="margin">
              <wp:posOffset>213995</wp:posOffset>
            </wp:positionH>
            <wp:positionV relativeFrom="margin">
              <wp:posOffset>184785</wp:posOffset>
            </wp:positionV>
            <wp:extent cx="5614035" cy="7943850"/>
            <wp:effectExtent l="0" t="0" r="571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14035" cy="7943850"/>
                    </a:xfrm>
                    <a:prstGeom prst="rect">
                      <a:avLst/>
                    </a:prstGeom>
                    <a:noFill/>
                    <a:ln>
                      <a:noFill/>
                    </a:ln>
                  </pic:spPr>
                </pic:pic>
              </a:graphicData>
            </a:graphic>
          </wp:anchor>
        </w:drawing>
      </w:r>
    </w:p>
    <w:p>
      <w:pPr>
        <w:widowControl/>
        <w:spacing w:before="120" w:beforeLines="50" w:line="520" w:lineRule="exact"/>
        <w:rPr>
          <w:rFonts w:ascii="Times New Roman" w:hAnsi="Times New Roman"/>
          <w:bCs/>
          <w:color w:val="auto"/>
          <w:sz w:val="44"/>
          <w:szCs w:val="44"/>
          <w:highlight w:val="none"/>
        </w:rPr>
      </w:pPr>
    </w:p>
    <w:p>
      <w:pPr>
        <w:widowControl/>
        <w:spacing w:before="120" w:beforeLines="50" w:line="520" w:lineRule="exact"/>
        <w:jc w:val="center"/>
        <w:rPr>
          <w:rFonts w:ascii="Times New Roman" w:hAnsi="Times New Roman"/>
          <w:bCs/>
          <w:color w:val="auto"/>
          <w:sz w:val="44"/>
          <w:szCs w:val="44"/>
          <w:highlight w:val="none"/>
        </w:rPr>
      </w:pPr>
    </w:p>
    <w:p>
      <w:pPr>
        <w:widowControl/>
        <w:spacing w:before="120" w:beforeLines="50" w:line="520" w:lineRule="exact"/>
        <w:jc w:val="center"/>
        <w:rPr>
          <w:rFonts w:ascii="Times New Roman" w:hAnsi="Times New Roman"/>
          <w:bCs/>
          <w:color w:val="auto"/>
          <w:sz w:val="44"/>
          <w:szCs w:val="44"/>
          <w:highlight w:val="none"/>
        </w:rPr>
      </w:pPr>
      <w:r>
        <w:rPr>
          <w:rFonts w:ascii="Times New Roman" w:hAnsi="Times New Roman"/>
          <w:bCs/>
          <w:color w:val="auto"/>
          <w:sz w:val="44"/>
          <w:szCs w:val="44"/>
          <w:highlight w:val="none"/>
        </w:rPr>
        <w:t>监理廉政合同</w:t>
      </w:r>
    </w:p>
    <w:p>
      <w:pPr>
        <w:widowControl/>
        <w:spacing w:line="600" w:lineRule="exact"/>
        <w:ind w:firstLine="560" w:firstLineChars="200"/>
        <w:rPr>
          <w:rFonts w:ascii="Times New Roman" w:hAnsi="Times New Roman"/>
          <w:color w:val="auto"/>
          <w:sz w:val="28"/>
          <w:szCs w:val="28"/>
          <w:highlight w:val="none"/>
        </w:rPr>
      </w:pP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为做好工程建设中的党风廉政建设，保证工程建设高效优质，保证建设资金的安全和有效使用以及投资效益，</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的</w:t>
      </w:r>
      <w:r>
        <w:rPr>
          <w:rFonts w:hint="eastAsia" w:ascii="Times New Roman" w:hAnsi="Times New Roman"/>
          <w:color w:val="auto"/>
          <w:sz w:val="28"/>
          <w:szCs w:val="28"/>
          <w:highlight w:val="none"/>
        </w:rPr>
        <w:t>第一委托人</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(以下称甲方)</w:t>
      </w:r>
      <w:r>
        <w:rPr>
          <w:rFonts w:hint="eastAsia" w:ascii="Times New Roman" w:hAnsi="Times New Roman"/>
          <w:color w:val="auto"/>
          <w:sz w:val="28"/>
          <w:szCs w:val="28"/>
          <w:highlight w:val="none"/>
        </w:rPr>
        <w:t>、第二委托人</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 xml:space="preserve"> (以下称乙方)与监理单位</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 xml:space="preserve"> (以下称</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方)，特订立如下合同。</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第一条  甲、乙</w:t>
      </w:r>
      <w:r>
        <w:rPr>
          <w:rFonts w:hint="eastAsia" w:ascii="Times New Roman" w:hAnsi="Times New Roman"/>
          <w:color w:val="auto"/>
          <w:sz w:val="28"/>
          <w:szCs w:val="28"/>
          <w:highlight w:val="none"/>
        </w:rPr>
        <w:t>、丙三</w:t>
      </w:r>
      <w:r>
        <w:rPr>
          <w:rFonts w:ascii="Times New Roman" w:hAnsi="Times New Roman"/>
          <w:color w:val="auto"/>
          <w:sz w:val="28"/>
          <w:szCs w:val="28"/>
          <w:highlight w:val="none"/>
        </w:rPr>
        <w:t>方的权利和义务</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(一)严格遵守党和国家有关法律法规及交通部的有关廉政规定。</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(二)严格执行</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合同文件，自觉按合同办事。</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(三)</w:t>
      </w:r>
      <w:r>
        <w:rPr>
          <w:rFonts w:hint="eastAsia" w:ascii="Times New Roman" w:hAnsi="Times New Roman"/>
          <w:color w:val="auto"/>
          <w:sz w:val="28"/>
          <w:szCs w:val="28"/>
          <w:highlight w:val="none"/>
        </w:rPr>
        <w:t>三</w:t>
      </w:r>
      <w:r>
        <w:rPr>
          <w:rFonts w:ascii="Times New Roman" w:hAnsi="Times New Roman"/>
          <w:color w:val="auto"/>
          <w:sz w:val="28"/>
          <w:szCs w:val="28"/>
          <w:highlight w:val="none"/>
        </w:rPr>
        <w:t>方的业务活动坚持公开、公正、诚信、透明的原则(除法律认定的商业秘密和合同文件另有规定之外)，不得损害国家和集体利益、违反工程建设管理规章制度。</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(四)建立健全廉政制度，开展廉政教育，设立廉政告示牌，公布举报电话，监督并认真查处违法违纪行为。</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(五)发现</w:t>
      </w:r>
      <w:r>
        <w:rPr>
          <w:rFonts w:hint="eastAsia" w:ascii="Times New Roman" w:hAnsi="Times New Roman"/>
          <w:color w:val="auto"/>
          <w:sz w:val="28"/>
          <w:szCs w:val="28"/>
          <w:highlight w:val="none"/>
        </w:rPr>
        <w:t>各</w:t>
      </w:r>
      <w:r>
        <w:rPr>
          <w:rFonts w:ascii="Times New Roman" w:hAnsi="Times New Roman"/>
          <w:color w:val="auto"/>
          <w:sz w:val="28"/>
          <w:szCs w:val="28"/>
          <w:highlight w:val="none"/>
        </w:rPr>
        <w:t>方在业务活动中有违反廉政规定的行为，有及时提醒对方纠正的权利和义务。</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(六)发现</w:t>
      </w:r>
      <w:r>
        <w:rPr>
          <w:rFonts w:hint="eastAsia" w:ascii="Times New Roman" w:hAnsi="Times New Roman"/>
          <w:color w:val="auto"/>
          <w:sz w:val="28"/>
          <w:szCs w:val="28"/>
          <w:highlight w:val="none"/>
        </w:rPr>
        <w:t>各</w:t>
      </w:r>
      <w:r>
        <w:rPr>
          <w:rFonts w:ascii="Times New Roman" w:hAnsi="Times New Roman"/>
          <w:color w:val="auto"/>
          <w:sz w:val="28"/>
          <w:szCs w:val="28"/>
          <w:highlight w:val="none"/>
        </w:rPr>
        <w:t>方严重违反本合同义务条款的行为，有向其上级有关部门举报、建立给予处理并要求告知处理结果的权利。</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第二条  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的义务</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(一)甲方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及其工作人员不得索要或接受</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方的礼金，有价证券和贵重物品，不得在</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方报销任何应由甲方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或个人支付的费用。</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(二)甲方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及其工作人员不得参加</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方安排的高消费宴请和娱乐活动；不得接受</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方提供的通讯工具、交通工具和高档办公用品。</w:t>
      </w:r>
    </w:p>
    <w:p>
      <w:pPr>
        <w:widowControl/>
        <w:spacing w:line="600" w:lineRule="exact"/>
        <w:ind w:firstLine="544" w:firstLineChars="200"/>
        <w:rPr>
          <w:rFonts w:ascii="Times New Roman" w:hAnsi="Times New Roman"/>
          <w:color w:val="auto"/>
          <w:sz w:val="28"/>
          <w:szCs w:val="28"/>
          <w:highlight w:val="none"/>
        </w:rPr>
      </w:pPr>
      <w:r>
        <w:rPr>
          <w:rFonts w:ascii="Times New Roman" w:hAnsi="Times New Roman"/>
          <w:color w:val="auto"/>
          <w:spacing w:val="-4"/>
          <w:sz w:val="28"/>
          <w:szCs w:val="28"/>
          <w:highlight w:val="none"/>
        </w:rPr>
        <w:t>(三)甲方</w:t>
      </w:r>
      <w:r>
        <w:rPr>
          <w:rFonts w:hint="eastAsia" w:ascii="Times New Roman" w:hAnsi="Times New Roman"/>
          <w:color w:val="auto"/>
          <w:sz w:val="28"/>
          <w:szCs w:val="28"/>
          <w:highlight w:val="none"/>
        </w:rPr>
        <w:t>、乙方</w:t>
      </w:r>
      <w:r>
        <w:rPr>
          <w:rFonts w:ascii="Times New Roman" w:hAnsi="Times New Roman"/>
          <w:color w:val="auto"/>
          <w:spacing w:val="-4"/>
          <w:sz w:val="28"/>
          <w:szCs w:val="28"/>
          <w:highlight w:val="none"/>
        </w:rPr>
        <w:t>及其工作人员不得要求或者接受</w:t>
      </w:r>
      <w:r>
        <w:rPr>
          <w:rFonts w:hint="eastAsia" w:ascii="Times New Roman" w:hAnsi="Times New Roman"/>
          <w:color w:val="auto"/>
          <w:spacing w:val="-4"/>
          <w:sz w:val="28"/>
          <w:szCs w:val="28"/>
          <w:highlight w:val="none"/>
        </w:rPr>
        <w:t>丙</w:t>
      </w:r>
      <w:r>
        <w:rPr>
          <w:rFonts w:ascii="Times New Roman" w:hAnsi="Times New Roman"/>
          <w:color w:val="auto"/>
          <w:spacing w:val="-4"/>
          <w:sz w:val="28"/>
          <w:szCs w:val="28"/>
          <w:highlight w:val="none"/>
        </w:rPr>
        <w:t>方为其住房装修、婚丧嫁娶活动、</w:t>
      </w:r>
      <w:r>
        <w:rPr>
          <w:rFonts w:ascii="Times New Roman" w:hAnsi="Times New Roman"/>
          <w:color w:val="auto"/>
          <w:sz w:val="28"/>
          <w:szCs w:val="28"/>
          <w:highlight w:val="none"/>
        </w:rPr>
        <w:t>配偶子女的工作安排以及出国出境、旅游等提供方便。</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(四)甲方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工作人员的配偶、子女及亲属不得从事与甲方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工程有关的监理分包项目。</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 xml:space="preserve">第三条  </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方义务</w:t>
      </w:r>
    </w:p>
    <w:p>
      <w:pPr>
        <w:widowControl/>
        <w:spacing w:line="600" w:lineRule="exact"/>
        <w:ind w:firstLine="536" w:firstLineChars="200"/>
        <w:rPr>
          <w:rFonts w:ascii="Times New Roman" w:hAnsi="Times New Roman"/>
          <w:color w:val="auto"/>
          <w:spacing w:val="-6"/>
          <w:sz w:val="28"/>
          <w:szCs w:val="28"/>
          <w:highlight w:val="none"/>
        </w:rPr>
      </w:pPr>
      <w:r>
        <w:rPr>
          <w:rFonts w:ascii="Times New Roman" w:hAnsi="Times New Roman"/>
          <w:color w:val="auto"/>
          <w:spacing w:val="-6"/>
          <w:sz w:val="28"/>
          <w:szCs w:val="28"/>
          <w:highlight w:val="none"/>
        </w:rPr>
        <w:t>(一)</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w:t>
      </w:r>
      <w:r>
        <w:rPr>
          <w:rFonts w:ascii="Times New Roman" w:hAnsi="Times New Roman"/>
          <w:color w:val="auto"/>
          <w:spacing w:val="-6"/>
          <w:sz w:val="28"/>
          <w:szCs w:val="28"/>
          <w:highlight w:val="none"/>
        </w:rPr>
        <w:t>不得以任何理由向甲方</w:t>
      </w:r>
      <w:r>
        <w:rPr>
          <w:rFonts w:hint="eastAsia" w:ascii="Times New Roman" w:hAnsi="Times New Roman"/>
          <w:color w:val="auto"/>
          <w:sz w:val="28"/>
          <w:szCs w:val="28"/>
          <w:highlight w:val="none"/>
        </w:rPr>
        <w:t>、乙方</w:t>
      </w:r>
      <w:r>
        <w:rPr>
          <w:rFonts w:ascii="Times New Roman" w:hAnsi="Times New Roman"/>
          <w:color w:val="auto"/>
          <w:spacing w:val="-6"/>
          <w:sz w:val="28"/>
          <w:szCs w:val="28"/>
          <w:highlight w:val="none"/>
        </w:rPr>
        <w:t>及其工作人员馈赠礼金、有价证券、贵重礼品。</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(二)</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方不得以任何名义为甲方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及其工作人员报销应由甲方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单位或个人支付的任何费用。</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(三)</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方不得以任何理由安排甲方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工作人员参加高消费宴请及娱乐活动。</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(四)</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方不得为甲方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单位和个人购置或提供通讯工具、交通工具和高档办公用品等。</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(五)</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方及其工作人员不得索取或接受施工单位的礼金、有价证券和贵重物品，不得在施工单位报销任何应由</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方或个人支付的费用。</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(六)</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方及其工作人员不得要求和接受施工单位为其住房装修、婚丧嫁娶活动、配偶子女的工作安排以及出国出境、旅游等提供方便。</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(七)乙方及其工作人员不得参与施工单位安排的高消费宴请和娱乐活动：不得接受施工单位提供的通讯工具、交通工具和高档办公用品。</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第四条  违约责任</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(一)甲方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及其工作人员违反本合同第一、二条，按管理权限，依据有关规定给予党纪、政纪或组织处理；涉嫌犯罪的，移交司法机关追究刑事责任；给乙方单位造成经济损失的，应予以赔偿。</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(二)</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w:t>
      </w:r>
      <w:r>
        <w:rPr>
          <w:rFonts w:ascii="Times New Roman" w:hAnsi="Times New Roman"/>
          <w:color w:val="auto"/>
          <w:spacing w:val="-2"/>
          <w:sz w:val="28"/>
          <w:szCs w:val="28"/>
          <w:highlight w:val="none"/>
        </w:rPr>
        <w:t>及其工作人员违反本合同第一、三、五、七条，按管理权限，依据有关规定，给予党纪、政纪或组织处理；给甲</w:t>
      </w:r>
      <w:r>
        <w:rPr>
          <w:rFonts w:ascii="Times New Roman" w:hAnsi="Times New Roman"/>
          <w:color w:val="auto"/>
          <w:sz w:val="28"/>
          <w:szCs w:val="28"/>
          <w:highlight w:val="none"/>
        </w:rPr>
        <w:t>方单位造成经济损失的，应予以赔偿；情节严重的，甲方建议工程建设主管部门给予乙方一至三年内不得进入其主管的交通工程建设市场的处罚。</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 xml:space="preserve">第五条  </w:t>
      </w:r>
      <w:r>
        <w:rPr>
          <w:rFonts w:hint="eastAsia" w:ascii="Times New Roman" w:hAnsi="Times New Roman"/>
          <w:color w:val="auto"/>
          <w:sz w:val="28"/>
          <w:szCs w:val="28"/>
          <w:highlight w:val="none"/>
        </w:rPr>
        <w:t>三</w:t>
      </w:r>
      <w:r>
        <w:rPr>
          <w:rFonts w:ascii="Times New Roman" w:hAnsi="Times New Roman"/>
          <w:color w:val="auto"/>
          <w:sz w:val="28"/>
          <w:szCs w:val="28"/>
          <w:highlight w:val="none"/>
        </w:rPr>
        <w:t>方约定：本合同由</w:t>
      </w:r>
      <w:r>
        <w:rPr>
          <w:rFonts w:hint="eastAsia" w:ascii="Times New Roman" w:hAnsi="Times New Roman"/>
          <w:color w:val="auto"/>
          <w:sz w:val="28"/>
          <w:szCs w:val="28"/>
          <w:highlight w:val="none"/>
        </w:rPr>
        <w:t>三</w:t>
      </w:r>
      <w:r>
        <w:rPr>
          <w:rFonts w:ascii="Times New Roman" w:hAnsi="Times New Roman"/>
          <w:color w:val="auto"/>
          <w:sz w:val="28"/>
          <w:szCs w:val="28"/>
          <w:highlight w:val="none"/>
        </w:rPr>
        <w:t>方或</w:t>
      </w:r>
      <w:r>
        <w:rPr>
          <w:rFonts w:hint="eastAsia" w:ascii="Times New Roman" w:hAnsi="Times New Roman"/>
          <w:color w:val="auto"/>
          <w:sz w:val="28"/>
          <w:szCs w:val="28"/>
          <w:highlight w:val="none"/>
        </w:rPr>
        <w:t>三</w:t>
      </w:r>
      <w:r>
        <w:rPr>
          <w:rFonts w:ascii="Times New Roman" w:hAnsi="Times New Roman"/>
          <w:color w:val="auto"/>
          <w:sz w:val="28"/>
          <w:szCs w:val="28"/>
          <w:highlight w:val="none"/>
        </w:rPr>
        <w:t>方上级单位的纪检监察机关负责监督执行。由甲方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或甲方</w:t>
      </w:r>
      <w:r>
        <w:rPr>
          <w:rFonts w:hint="eastAsia" w:ascii="Times New Roman" w:hAnsi="Times New Roman"/>
          <w:color w:val="auto"/>
          <w:sz w:val="28"/>
          <w:szCs w:val="28"/>
          <w:highlight w:val="none"/>
        </w:rPr>
        <w:t>、乙方</w:t>
      </w:r>
      <w:r>
        <w:rPr>
          <w:rFonts w:ascii="Times New Roman" w:hAnsi="Times New Roman"/>
          <w:color w:val="auto"/>
          <w:sz w:val="28"/>
          <w:szCs w:val="28"/>
          <w:highlight w:val="none"/>
        </w:rPr>
        <w:t>上级单位的纪检监察机关约请</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方或</w:t>
      </w:r>
      <w:r>
        <w:rPr>
          <w:rFonts w:hint="eastAsia" w:ascii="Times New Roman" w:hAnsi="Times New Roman"/>
          <w:color w:val="auto"/>
          <w:sz w:val="28"/>
          <w:szCs w:val="28"/>
          <w:highlight w:val="none"/>
        </w:rPr>
        <w:t>丙</w:t>
      </w:r>
      <w:r>
        <w:rPr>
          <w:rFonts w:ascii="Times New Roman" w:hAnsi="Times New Roman"/>
          <w:color w:val="auto"/>
          <w:sz w:val="28"/>
          <w:szCs w:val="28"/>
          <w:highlight w:val="none"/>
        </w:rPr>
        <w:t>方上级单位纪检监察机关对本合同执行情况进行检查；提出在本合同规定范围内的裁定意见。</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第六条  本合同有效期为甲、乙</w:t>
      </w:r>
      <w:r>
        <w:rPr>
          <w:rFonts w:hint="eastAsia" w:ascii="Times New Roman" w:hAnsi="Times New Roman"/>
          <w:color w:val="auto"/>
          <w:sz w:val="28"/>
          <w:szCs w:val="28"/>
          <w:highlight w:val="none"/>
        </w:rPr>
        <w:t>、丙三</w:t>
      </w:r>
      <w:r>
        <w:rPr>
          <w:rFonts w:ascii="Times New Roman" w:hAnsi="Times New Roman"/>
          <w:color w:val="auto"/>
          <w:sz w:val="28"/>
          <w:szCs w:val="28"/>
          <w:highlight w:val="none"/>
        </w:rPr>
        <w:t>方签署之日起至该工程项目竣工验收后止。</w:t>
      </w:r>
    </w:p>
    <w:p>
      <w:pPr>
        <w:widowControl/>
        <w:spacing w:line="60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第七条  本合同一式</w:t>
      </w:r>
      <w:r>
        <w:rPr>
          <w:rFonts w:hint="eastAsia" w:ascii="Times New Roman" w:hAnsi="Times New Roman"/>
          <w:color w:val="auto"/>
          <w:sz w:val="28"/>
          <w:szCs w:val="28"/>
          <w:highlight w:val="none"/>
          <w:u w:val="single"/>
        </w:rPr>
        <w:t xml:space="preserve"> 拾贰 </w:t>
      </w:r>
      <w:r>
        <w:rPr>
          <w:rFonts w:ascii="Times New Roman" w:hAnsi="Times New Roman"/>
          <w:color w:val="auto"/>
          <w:sz w:val="28"/>
          <w:szCs w:val="28"/>
          <w:highlight w:val="none"/>
        </w:rPr>
        <w:t>份，甲、</w:t>
      </w:r>
      <w:r>
        <w:rPr>
          <w:rFonts w:hint="eastAsia" w:ascii="Times New Roman" w:hAnsi="Times New Roman"/>
          <w:color w:val="auto"/>
          <w:sz w:val="28"/>
          <w:szCs w:val="28"/>
          <w:highlight w:val="none"/>
        </w:rPr>
        <w:t>乙</w:t>
      </w:r>
      <w:r>
        <w:rPr>
          <w:rFonts w:ascii="Times New Roman" w:hAnsi="Times New Roman"/>
          <w:color w:val="auto"/>
          <w:sz w:val="28"/>
          <w:szCs w:val="28"/>
          <w:highlight w:val="none"/>
        </w:rPr>
        <w:t>、</w:t>
      </w:r>
      <w:r>
        <w:rPr>
          <w:rFonts w:hint="eastAsia" w:ascii="Times New Roman" w:hAnsi="Times New Roman"/>
          <w:color w:val="auto"/>
          <w:sz w:val="28"/>
          <w:szCs w:val="28"/>
          <w:highlight w:val="none"/>
        </w:rPr>
        <w:t>丙三</w:t>
      </w:r>
      <w:r>
        <w:rPr>
          <w:rFonts w:ascii="Times New Roman" w:hAnsi="Times New Roman"/>
          <w:color w:val="auto"/>
          <w:sz w:val="28"/>
          <w:szCs w:val="28"/>
          <w:highlight w:val="none"/>
        </w:rPr>
        <w:t>方各执</w:t>
      </w:r>
      <w:r>
        <w:rPr>
          <w:rFonts w:hint="eastAsia" w:ascii="Times New Roman" w:hAnsi="Times New Roman"/>
          <w:color w:val="auto"/>
          <w:sz w:val="28"/>
          <w:szCs w:val="28"/>
          <w:highlight w:val="none"/>
          <w:u w:val="single"/>
        </w:rPr>
        <w:t xml:space="preserve"> </w:t>
      </w:r>
      <w:r>
        <w:rPr>
          <w:rFonts w:ascii="Times New Roman" w:hAnsi="Times New Roman"/>
          <w:color w:val="auto"/>
          <w:sz w:val="28"/>
          <w:szCs w:val="28"/>
          <w:highlight w:val="none"/>
          <w:u w:val="single"/>
        </w:rPr>
        <w:t>肆</w:t>
      </w:r>
      <w:r>
        <w:rPr>
          <w:rFonts w:hint="eastAsia" w:ascii="Times New Roman" w:hAnsi="Times New Roman"/>
          <w:color w:val="auto"/>
          <w:sz w:val="28"/>
          <w:szCs w:val="28"/>
          <w:highlight w:val="none"/>
          <w:u w:val="single"/>
        </w:rPr>
        <w:t xml:space="preserve"> </w:t>
      </w:r>
      <w:r>
        <w:rPr>
          <w:rFonts w:ascii="Times New Roman" w:hAnsi="Times New Roman"/>
          <w:color w:val="auto"/>
          <w:sz w:val="28"/>
          <w:szCs w:val="28"/>
          <w:highlight w:val="none"/>
        </w:rPr>
        <w:t>份</w:t>
      </w:r>
      <w:r>
        <w:rPr>
          <w:rFonts w:hint="eastAsia" w:ascii="Times New Roman" w:hAnsi="Times New Roman"/>
          <w:color w:val="auto"/>
          <w:sz w:val="28"/>
          <w:szCs w:val="28"/>
          <w:highlight w:val="none"/>
        </w:rPr>
        <w:t>。</w:t>
      </w:r>
    </w:p>
    <w:p>
      <w:pPr>
        <w:widowControl/>
        <w:spacing w:line="600" w:lineRule="exact"/>
        <w:ind w:firstLine="560" w:firstLineChars="200"/>
        <w:rPr>
          <w:rFonts w:ascii="Times New Roman" w:hAnsi="Times New Roman"/>
          <w:color w:val="auto"/>
          <w:sz w:val="28"/>
          <w:szCs w:val="28"/>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pStyle w:val="2"/>
        <w:ind w:firstLine="400"/>
        <w:rPr>
          <w:color w:val="auto"/>
          <w:highlight w:val="none"/>
        </w:rPr>
      </w:pP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（本页无正文，为《</w:t>
      </w:r>
      <w:r>
        <w:rPr>
          <w:rFonts w:hint="eastAsia" w:ascii="Times New Roman" w:hAnsi="Times New Roman"/>
          <w:color w:val="auto"/>
          <w:sz w:val="28"/>
          <w:szCs w:val="28"/>
          <w:highlight w:val="none"/>
        </w:rPr>
        <w:t>监理廉政合同</w:t>
      </w:r>
      <w:r>
        <w:rPr>
          <w:rFonts w:ascii="Times New Roman" w:hAnsi="Times New Roman"/>
          <w:color w:val="auto"/>
          <w:sz w:val="28"/>
          <w:szCs w:val="28"/>
          <w:highlight w:val="none"/>
        </w:rPr>
        <w:t>》之签章页）</w:t>
      </w:r>
    </w:p>
    <w:p>
      <w:pPr>
        <w:widowControl/>
        <w:spacing w:line="560" w:lineRule="exact"/>
        <w:ind w:firstLine="560" w:firstLineChars="200"/>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r>
        <w:rPr>
          <w:rFonts w:hint="eastAsia" w:ascii="Times New Roman" w:hAnsi="Times New Roman"/>
          <w:color w:val="auto"/>
          <w:sz w:val="28"/>
          <w:szCs w:val="28"/>
          <w:highlight w:val="none"/>
        </w:rPr>
        <w:t>第一</w:t>
      </w:r>
      <w:r>
        <w:rPr>
          <w:rFonts w:ascii="Times New Roman" w:hAnsi="Times New Roman"/>
          <w:color w:val="auto"/>
          <w:sz w:val="28"/>
          <w:szCs w:val="28"/>
          <w:highlight w:val="none"/>
        </w:rPr>
        <w:t>委托人（盖章）：株洲市清水塘投资集团有限公司</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法定代表人/委托代理人（签字）：</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联系电话:（必填）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联系人：（必填）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联系地址：（必填）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签署日期：    年    月    日</w:t>
      </w:r>
    </w:p>
    <w:p>
      <w:pPr>
        <w:widowControl/>
        <w:spacing w:line="560" w:lineRule="exact"/>
        <w:ind w:firstLine="560" w:firstLineChars="200"/>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r>
        <w:rPr>
          <w:rFonts w:hint="eastAsia" w:ascii="Times New Roman" w:hAnsi="Times New Roman"/>
          <w:color w:val="auto"/>
          <w:sz w:val="28"/>
          <w:szCs w:val="28"/>
          <w:highlight w:val="none"/>
        </w:rPr>
        <w:t>第二</w:t>
      </w:r>
      <w:r>
        <w:rPr>
          <w:rFonts w:ascii="Times New Roman" w:hAnsi="Times New Roman"/>
          <w:color w:val="auto"/>
          <w:sz w:val="28"/>
          <w:szCs w:val="28"/>
          <w:highlight w:val="none"/>
        </w:rPr>
        <w:t>委托人（盖章）：</w:t>
      </w:r>
      <w:r>
        <w:rPr>
          <w:rFonts w:hint="eastAsia" w:ascii="Times New Roman" w:hAnsi="Times New Roman"/>
          <w:color w:val="auto"/>
          <w:sz w:val="28"/>
          <w:szCs w:val="28"/>
          <w:highlight w:val="none"/>
        </w:rPr>
        <w:t>株洲中交清水塘投资开发有限公司</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法定代表人/委托代理人（签字）：</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联系电话:（必填）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联系人：（必填）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联系地址：（必填）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签署日期：    年    月    日</w:t>
      </w:r>
    </w:p>
    <w:p>
      <w:pPr>
        <w:widowControl/>
        <w:spacing w:line="560" w:lineRule="exact"/>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监 理 人：（盖章）：</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法定代表人/委托代理人（签字）：</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联系电话：（必填）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联系人：（必填）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联系地址：（必填）</w:t>
      </w:r>
    </w:p>
    <w:p>
      <w:pPr>
        <w:widowControl/>
        <w:spacing w:line="560" w:lineRule="exact"/>
        <w:ind w:firstLine="560" w:firstLineChars="200"/>
        <w:rPr>
          <w:rFonts w:ascii="Times New Roman" w:hAnsi="Times New Roman"/>
          <w:color w:val="auto"/>
          <w:sz w:val="28"/>
          <w:szCs w:val="28"/>
          <w:highlight w:val="none"/>
        </w:rPr>
      </w:pPr>
      <w:r>
        <w:rPr>
          <w:rFonts w:ascii="Times New Roman" w:hAnsi="Times New Roman"/>
          <w:color w:val="auto"/>
          <w:sz w:val="28"/>
          <w:szCs w:val="28"/>
          <w:highlight w:val="none"/>
        </w:rPr>
        <w:t>签署日期：    年    月    日</w:t>
      </w:r>
    </w:p>
    <w:p>
      <w:pPr>
        <w:adjustRightInd w:val="0"/>
        <w:snapToGrid w:val="0"/>
        <w:spacing w:line="460" w:lineRule="exact"/>
        <w:jc w:val="left"/>
        <w:rPr>
          <w:rFonts w:ascii="Times New Roman" w:hAnsi="Times New Roman"/>
          <w:b/>
          <w:color w:val="auto"/>
          <w:kern w:val="0"/>
          <w:sz w:val="44"/>
          <w:szCs w:val="44"/>
          <w:highlight w:val="none"/>
        </w:rPr>
      </w:pPr>
      <w:r>
        <w:rPr>
          <w:rFonts w:hint="eastAsia" w:ascii="Times New Roman" w:hAnsi="Times New Roman"/>
          <w:b/>
          <w:color w:val="auto"/>
          <w:kern w:val="0"/>
          <w:sz w:val="44"/>
          <w:szCs w:val="44"/>
          <w:highlight w:val="none"/>
        </w:rPr>
        <w:t xml:space="preserve">                </w:t>
      </w:r>
      <w:r>
        <w:rPr>
          <w:rFonts w:ascii="Times New Roman" w:hAnsi="Times New Roman"/>
          <w:b/>
          <w:color w:val="auto"/>
          <w:kern w:val="0"/>
          <w:sz w:val="44"/>
          <w:szCs w:val="44"/>
          <w:highlight w:val="none"/>
        </w:rPr>
        <w:t>中标通知书</w:t>
      </w:r>
    </w:p>
    <w:p>
      <w:pPr>
        <w:tabs>
          <w:tab w:val="left" w:leader="underscore" w:pos="9000"/>
        </w:tabs>
        <w:spacing w:line="360" w:lineRule="exact"/>
        <w:jc w:val="center"/>
        <w:rPr>
          <w:rFonts w:ascii="Times New Roman" w:hAnsi="Times New Roman"/>
          <w:bCs/>
          <w:color w:val="auto"/>
          <w:kern w:val="0"/>
          <w:sz w:val="40"/>
          <w:szCs w:val="18"/>
          <w:highlight w:val="none"/>
        </w:rPr>
      </w:pPr>
    </w:p>
    <w:p>
      <w:pPr>
        <w:pStyle w:val="5"/>
        <w:keepLines w:val="0"/>
        <w:pageBreakBefore w:val="0"/>
        <w:widowControl/>
        <w:autoSpaceDE/>
        <w:autoSpaceDN/>
        <w:adjustRightInd/>
        <w:spacing w:line="240" w:lineRule="atLeast"/>
        <w:rPr>
          <w:rFonts w:ascii="Times New Roman" w:hAnsi="Times New Roman" w:eastAsia="宋体"/>
          <w:bCs w:val="0"/>
          <w:color w:val="auto"/>
          <w:spacing w:val="0"/>
          <w:kern w:val="0"/>
          <w:sz w:val="40"/>
          <w:szCs w:val="18"/>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rPr>
          <w:rFonts w:ascii="Times New Roman" w:hAnsi="Times New Roman"/>
          <w:color w:val="auto"/>
          <w:sz w:val="32"/>
          <w:szCs w:val="32"/>
          <w:highlight w:val="none"/>
        </w:rPr>
      </w:pPr>
    </w:p>
    <w:p>
      <w:pPr>
        <w:spacing w:line="500" w:lineRule="atLeast"/>
        <w:rPr>
          <w:rFonts w:ascii="Times New Roman" w:hAnsi="Times New Roman"/>
          <w:bCs/>
          <w:color w:val="auto"/>
          <w:kern w:val="0"/>
          <w:sz w:val="40"/>
          <w:szCs w:val="18"/>
          <w:highlight w:val="none"/>
        </w:rPr>
      </w:pPr>
    </w:p>
    <w:p>
      <w:pPr>
        <w:widowControl/>
        <w:spacing w:line="520" w:lineRule="exact"/>
        <w:ind w:firstLine="560" w:firstLineChars="200"/>
        <w:rPr>
          <w:rFonts w:ascii="Times New Roman" w:hAnsi="Times New Roman"/>
          <w:color w:val="auto"/>
          <w:sz w:val="28"/>
          <w:szCs w:val="28"/>
          <w:highlight w:val="none"/>
        </w:rPr>
      </w:pPr>
    </w:p>
    <w:p>
      <w:pPr>
        <w:rPr>
          <w:rFonts w:ascii="Times New Roman" w:hAnsi="Times New Roman"/>
          <w:color w:val="auto"/>
          <w:kern w:val="0"/>
          <w:sz w:val="40"/>
          <w:szCs w:val="18"/>
          <w:highlight w:val="none"/>
        </w:rPr>
      </w:pPr>
      <w:bookmarkStart w:id="123" w:name="_Toc509841407"/>
      <w:r>
        <w:rPr>
          <w:rFonts w:ascii="Times New Roman" w:hAnsi="Times New Roman"/>
          <w:color w:val="auto"/>
          <w:kern w:val="0"/>
          <w:sz w:val="40"/>
          <w:szCs w:val="18"/>
          <w:highlight w:val="none"/>
        </w:rPr>
        <w:br w:type="page"/>
      </w:r>
    </w:p>
    <w:p>
      <w:pPr>
        <w:pStyle w:val="5"/>
        <w:keepLines w:val="0"/>
        <w:pageBreakBefore w:val="0"/>
        <w:widowControl/>
        <w:autoSpaceDE/>
        <w:autoSpaceDN/>
        <w:adjustRightInd/>
        <w:spacing w:before="0" w:after="0" w:line="240" w:lineRule="atLeast"/>
        <w:rPr>
          <w:rFonts w:ascii="Times New Roman" w:hAnsi="Times New Roman" w:eastAsia="宋体"/>
          <w:color w:val="auto"/>
          <w:spacing w:val="0"/>
          <w:kern w:val="0"/>
          <w:sz w:val="40"/>
          <w:szCs w:val="18"/>
          <w:highlight w:val="none"/>
        </w:rPr>
      </w:pPr>
      <w:r>
        <w:rPr>
          <w:rFonts w:ascii="Times New Roman" w:hAnsi="Times New Roman" w:eastAsia="宋体"/>
          <w:color w:val="auto"/>
          <w:spacing w:val="0"/>
          <w:kern w:val="0"/>
          <w:sz w:val="40"/>
          <w:szCs w:val="18"/>
          <w:highlight w:val="none"/>
        </w:rPr>
        <w:t>第四章  投标文件的格式</w:t>
      </w:r>
      <w:bookmarkEnd w:id="123"/>
    </w:p>
    <w:p>
      <w:pPr>
        <w:tabs>
          <w:tab w:val="left" w:pos="0"/>
          <w:tab w:val="left" w:pos="540"/>
          <w:tab w:val="left" w:pos="1440"/>
        </w:tabs>
        <w:ind w:left="-160" w:leftChars="-300" w:right="25" w:rightChars="12" w:hanging="470" w:hangingChars="213"/>
        <w:jc w:val="center"/>
        <w:rPr>
          <w:rFonts w:ascii="Times New Roman" w:hAnsi="Times New Roman"/>
          <w:b/>
          <w:bCs/>
          <w:color w:val="auto"/>
          <w:sz w:val="22"/>
          <w:szCs w:val="22"/>
          <w:highlight w:val="none"/>
        </w:rPr>
      </w:pPr>
    </w:p>
    <w:p>
      <w:pPr>
        <w:tabs>
          <w:tab w:val="left" w:pos="0"/>
          <w:tab w:val="left" w:pos="540"/>
          <w:tab w:val="left" w:pos="1440"/>
        </w:tabs>
        <w:ind w:left="-31" w:leftChars="-300" w:right="25" w:rightChars="12" w:hanging="599" w:hangingChars="213"/>
        <w:jc w:val="center"/>
        <w:rPr>
          <w:rFonts w:ascii="Times New Roman" w:hAnsi="Times New Roman"/>
          <w:b/>
          <w:bCs/>
          <w:color w:val="auto"/>
          <w:sz w:val="28"/>
          <w:szCs w:val="22"/>
          <w:highlight w:val="none"/>
        </w:rPr>
      </w:pPr>
    </w:p>
    <w:p>
      <w:pPr>
        <w:tabs>
          <w:tab w:val="left" w:pos="0"/>
          <w:tab w:val="left" w:pos="540"/>
          <w:tab w:val="left" w:pos="1440"/>
        </w:tabs>
        <w:ind w:left="-31" w:leftChars="-300" w:right="25" w:rightChars="12" w:hanging="599" w:hangingChars="213"/>
        <w:jc w:val="center"/>
        <w:rPr>
          <w:rFonts w:ascii="Times New Roman" w:hAnsi="Times New Roman"/>
          <w:b/>
          <w:bCs/>
          <w:color w:val="auto"/>
          <w:sz w:val="28"/>
          <w:szCs w:val="22"/>
          <w:highlight w:val="none"/>
        </w:rPr>
      </w:pPr>
    </w:p>
    <w:p>
      <w:pPr>
        <w:tabs>
          <w:tab w:val="left" w:pos="0"/>
          <w:tab w:val="left" w:pos="540"/>
          <w:tab w:val="left" w:pos="1440"/>
        </w:tabs>
        <w:ind w:left="-31" w:leftChars="-300" w:right="25" w:rightChars="12" w:hanging="599" w:hangingChars="213"/>
        <w:jc w:val="center"/>
        <w:rPr>
          <w:rFonts w:ascii="Times New Roman" w:hAnsi="Times New Roman"/>
          <w:color w:val="auto"/>
          <w:sz w:val="22"/>
          <w:szCs w:val="22"/>
          <w:highlight w:val="none"/>
        </w:rPr>
      </w:pPr>
      <w:r>
        <w:rPr>
          <w:rFonts w:ascii="Times New Roman" w:hAnsi="Times New Roman"/>
          <w:b/>
          <w:bCs/>
          <w:color w:val="auto"/>
          <w:sz w:val="28"/>
          <w:szCs w:val="22"/>
          <w:highlight w:val="none"/>
        </w:rPr>
        <w:t>格 式 目 录</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格式一：投标文件封面</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格式二：投标函及投标函附录</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格式三：投标担保承诺书</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格式四：法定代表人资格证明书</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格式五：授权委托书</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格式六：拟派往本项目的监理人员一览表</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格式七：拟派往本项目的监理人员简历</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格式八：用于本工程的检测设备、仪器一览表</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格式九：投标单位企业概况表</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格式十：投标人已完类似监理工程一览表</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格式十一：投标单位廉政承诺书</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r>
        <w:rPr>
          <w:rFonts w:ascii="Times New Roman" w:hAnsi="Times New Roman"/>
          <w:color w:val="auto"/>
          <w:sz w:val="22"/>
          <w:szCs w:val="22"/>
          <w:highlight w:val="none"/>
        </w:rPr>
        <w:t>格式十二：投标人承诺书</w:t>
      </w: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900"/>
          <w:tab w:val="left" w:pos="1440"/>
        </w:tabs>
        <w:spacing w:line="400" w:lineRule="exact"/>
        <w:ind w:firstLine="990" w:firstLineChars="450"/>
        <w:rPr>
          <w:rFonts w:ascii="Times New Roman" w:hAnsi="Times New Roman"/>
          <w:color w:val="auto"/>
          <w:sz w:val="22"/>
          <w:szCs w:val="22"/>
          <w:highlight w:val="none"/>
        </w:rPr>
      </w:pPr>
    </w:p>
    <w:p>
      <w:pPr>
        <w:tabs>
          <w:tab w:val="left" w:pos="0"/>
          <w:tab w:val="left" w:pos="1440"/>
        </w:tabs>
        <w:ind w:right="25" w:rightChars="12" w:firstLine="376" w:firstLineChars="171"/>
        <w:rPr>
          <w:rFonts w:ascii="Times New Roman" w:hAnsi="Times New Roman"/>
          <w:color w:val="auto"/>
          <w:sz w:val="22"/>
          <w:szCs w:val="22"/>
          <w:highlight w:val="none"/>
        </w:rPr>
      </w:pPr>
    </w:p>
    <w:p>
      <w:pPr>
        <w:tabs>
          <w:tab w:val="left" w:pos="0"/>
          <w:tab w:val="left" w:pos="1440"/>
        </w:tabs>
        <w:ind w:right="25" w:rightChars="12" w:firstLine="376" w:firstLineChars="171"/>
        <w:rPr>
          <w:rFonts w:ascii="Times New Roman" w:hAnsi="Times New Roman"/>
          <w:color w:val="auto"/>
          <w:sz w:val="22"/>
          <w:szCs w:val="22"/>
          <w:highlight w:val="none"/>
        </w:rPr>
      </w:pPr>
    </w:p>
    <w:p>
      <w:pPr>
        <w:tabs>
          <w:tab w:val="left" w:pos="0"/>
          <w:tab w:val="left" w:pos="1440"/>
        </w:tabs>
        <w:ind w:right="25" w:rightChars="12" w:firstLine="376" w:firstLineChars="171"/>
        <w:rPr>
          <w:rFonts w:ascii="Times New Roman" w:hAnsi="Times New Roman"/>
          <w:color w:val="auto"/>
          <w:sz w:val="22"/>
          <w:szCs w:val="22"/>
          <w:highlight w:val="none"/>
        </w:rPr>
      </w:pPr>
    </w:p>
    <w:p>
      <w:pPr>
        <w:pStyle w:val="6"/>
        <w:spacing w:line="240" w:lineRule="atLeast"/>
        <w:jc w:val="both"/>
        <w:rPr>
          <w:rFonts w:ascii="Times New Roman" w:hAnsi="Times New Roman" w:eastAsia="宋体"/>
          <w:b w:val="0"/>
          <w:bCs w:val="0"/>
          <w:color w:val="auto"/>
          <w:sz w:val="22"/>
          <w:szCs w:val="28"/>
          <w:highlight w:val="none"/>
        </w:rPr>
      </w:pPr>
      <w:bookmarkStart w:id="124" w:name="_Toc12770"/>
      <w:bookmarkStart w:id="125" w:name="_Toc32156"/>
      <w:bookmarkStart w:id="126" w:name="_Toc405313181"/>
      <w:r>
        <w:rPr>
          <w:rFonts w:ascii="Times New Roman" w:hAnsi="Times New Roman" w:eastAsia="宋体"/>
          <w:b w:val="0"/>
          <w:bCs w:val="0"/>
          <w:color w:val="auto"/>
          <w:sz w:val="22"/>
          <w:szCs w:val="28"/>
          <w:highlight w:val="none"/>
        </w:rPr>
        <w:br w:type="page"/>
      </w:r>
      <w:bookmarkStart w:id="127" w:name="_Toc509841408"/>
      <w:r>
        <w:rPr>
          <w:rFonts w:ascii="Times New Roman" w:hAnsi="Times New Roman" w:eastAsia="宋体"/>
          <w:b w:val="0"/>
          <w:bCs w:val="0"/>
          <w:color w:val="auto"/>
          <w:sz w:val="22"/>
          <w:szCs w:val="28"/>
          <w:highlight w:val="none"/>
        </w:rPr>
        <w:t>格式一：</w:t>
      </w:r>
      <w:bookmarkEnd w:id="124"/>
      <w:bookmarkEnd w:id="125"/>
      <w:bookmarkEnd w:id="126"/>
      <w:bookmarkEnd w:id="127"/>
      <w:r>
        <w:rPr>
          <w:rFonts w:ascii="Times New Roman" w:hAnsi="Times New Roman" w:eastAsia="宋体"/>
          <w:b w:val="0"/>
          <w:bCs w:val="0"/>
          <w:color w:val="auto"/>
          <w:sz w:val="22"/>
          <w:szCs w:val="28"/>
          <w:highlight w:val="none"/>
        </w:rPr>
        <w:t xml:space="preserve">       </w:t>
      </w:r>
    </w:p>
    <w:p>
      <w:pPr>
        <w:rPr>
          <w:rFonts w:ascii="Times New Roman" w:hAnsi="Times New Roman"/>
          <w:color w:val="auto"/>
          <w:highlight w:val="none"/>
        </w:rPr>
      </w:pPr>
    </w:p>
    <w:p>
      <w:pPr>
        <w:rPr>
          <w:rFonts w:ascii="Times New Roman" w:hAnsi="Times New Roman"/>
          <w:b/>
          <w:bCs/>
          <w:color w:val="auto"/>
          <w:sz w:val="22"/>
          <w:szCs w:val="28"/>
          <w:highlight w:val="none"/>
        </w:rPr>
      </w:pPr>
    </w:p>
    <w:p>
      <w:pPr>
        <w:spacing w:line="760" w:lineRule="exact"/>
        <w:jc w:val="center"/>
        <w:rPr>
          <w:rFonts w:ascii="Times New Roman" w:hAnsi="Times New Roman" w:eastAsia="黑体"/>
          <w:b/>
          <w:color w:val="auto"/>
          <w:spacing w:val="-10"/>
          <w:sz w:val="48"/>
          <w:szCs w:val="48"/>
          <w:highlight w:val="none"/>
        </w:rPr>
      </w:pPr>
      <w:r>
        <w:rPr>
          <w:rFonts w:hint="eastAsia" w:ascii="Times New Roman" w:hAnsi="Times New Roman" w:eastAsia="黑体"/>
          <w:b/>
          <w:color w:val="auto"/>
          <w:spacing w:val="-10"/>
          <w:sz w:val="48"/>
          <w:szCs w:val="48"/>
          <w:highlight w:val="none"/>
          <w:lang w:eastAsia="zh-CN"/>
        </w:rPr>
        <w:t>株洲市清水塘老工业区产业新城整体开发项目清水塘大桥新建工程施工监理</w:t>
      </w:r>
      <w:r>
        <w:rPr>
          <w:rFonts w:ascii="Times New Roman" w:hAnsi="Times New Roman" w:eastAsia="黑体"/>
          <w:b/>
          <w:color w:val="auto"/>
          <w:spacing w:val="-10"/>
          <w:sz w:val="48"/>
          <w:szCs w:val="48"/>
          <w:highlight w:val="none"/>
        </w:rPr>
        <w:t>招标</w:t>
      </w:r>
    </w:p>
    <w:p>
      <w:pPr>
        <w:tabs>
          <w:tab w:val="left" w:pos="0"/>
          <w:tab w:val="left" w:pos="1080"/>
        </w:tabs>
        <w:ind w:left="-2" w:leftChars="-1"/>
        <w:jc w:val="center"/>
        <w:rPr>
          <w:rFonts w:ascii="Times New Roman" w:hAnsi="Times New Roman" w:eastAsia="黑体"/>
          <w:b/>
          <w:color w:val="auto"/>
          <w:sz w:val="56"/>
          <w:szCs w:val="32"/>
          <w:highlight w:val="none"/>
        </w:rPr>
      </w:pPr>
    </w:p>
    <w:p>
      <w:pPr>
        <w:spacing w:line="760" w:lineRule="exact"/>
        <w:rPr>
          <w:rFonts w:ascii="Times New Roman" w:hAnsi="Times New Roman" w:eastAsia="黑体"/>
          <w:b/>
          <w:color w:val="auto"/>
          <w:sz w:val="48"/>
          <w:highlight w:val="none"/>
        </w:rPr>
      </w:pPr>
    </w:p>
    <w:p>
      <w:pPr>
        <w:spacing w:line="760" w:lineRule="exact"/>
        <w:rPr>
          <w:rFonts w:ascii="Times New Roman" w:hAnsi="Times New Roman" w:eastAsia="黑体"/>
          <w:b/>
          <w:color w:val="auto"/>
          <w:sz w:val="48"/>
          <w:highlight w:val="none"/>
        </w:rPr>
      </w:pPr>
    </w:p>
    <w:p>
      <w:pPr>
        <w:spacing w:line="760" w:lineRule="exact"/>
        <w:jc w:val="center"/>
        <w:rPr>
          <w:rFonts w:ascii="Times New Roman" w:hAnsi="Times New Roman" w:eastAsia="黑体"/>
          <w:b/>
          <w:color w:val="auto"/>
          <w:sz w:val="52"/>
          <w:szCs w:val="52"/>
          <w:highlight w:val="none"/>
        </w:rPr>
      </w:pPr>
      <w:r>
        <w:rPr>
          <w:rFonts w:ascii="Times New Roman" w:hAnsi="Times New Roman" w:eastAsia="黑体"/>
          <w:b/>
          <w:color w:val="auto"/>
          <w:sz w:val="52"/>
          <w:szCs w:val="52"/>
          <w:highlight w:val="none"/>
        </w:rPr>
        <w:t>投 标 文 件</w:t>
      </w:r>
    </w:p>
    <w:p>
      <w:pPr>
        <w:spacing w:line="760" w:lineRule="exact"/>
        <w:jc w:val="center"/>
        <w:rPr>
          <w:rFonts w:ascii="Times New Roman" w:hAnsi="Times New Roman" w:eastAsia="黑体"/>
          <w:b/>
          <w:color w:val="auto"/>
          <w:sz w:val="30"/>
          <w:szCs w:val="30"/>
          <w:highlight w:val="none"/>
        </w:rPr>
      </w:pPr>
      <w:r>
        <w:rPr>
          <w:rFonts w:ascii="Times New Roman" w:hAnsi="Times New Roman" w:eastAsia="黑体"/>
          <w:b/>
          <w:color w:val="auto"/>
          <w:sz w:val="30"/>
          <w:szCs w:val="30"/>
          <w:highlight w:val="none"/>
        </w:rPr>
        <w:t>（请注明“正本”或“副本”）</w:t>
      </w:r>
    </w:p>
    <w:p>
      <w:pPr>
        <w:spacing w:line="760" w:lineRule="exact"/>
        <w:jc w:val="center"/>
        <w:rPr>
          <w:rFonts w:ascii="Times New Roman" w:hAnsi="Times New Roman" w:eastAsia="黑体"/>
          <w:b/>
          <w:color w:val="auto"/>
          <w:sz w:val="36"/>
          <w:highlight w:val="none"/>
        </w:rPr>
      </w:pPr>
    </w:p>
    <w:p>
      <w:pPr>
        <w:spacing w:line="760" w:lineRule="exact"/>
        <w:rPr>
          <w:rFonts w:ascii="Times New Roman" w:hAnsi="Times New Roman"/>
          <w:b/>
          <w:color w:val="auto"/>
          <w:sz w:val="24"/>
          <w:szCs w:val="22"/>
          <w:highlight w:val="none"/>
        </w:rPr>
      </w:pPr>
      <w:r>
        <w:rPr>
          <w:rFonts w:ascii="Times New Roman" w:hAnsi="Times New Roman"/>
          <w:color w:val="auto"/>
          <w:sz w:val="28"/>
          <w:highlight w:val="none"/>
        </w:rPr>
        <w:t xml:space="preserve">              </w:t>
      </w:r>
      <w:r>
        <w:rPr>
          <w:rFonts w:ascii="Times New Roman" w:hAnsi="Times New Roman"/>
          <w:color w:val="auto"/>
          <w:sz w:val="24"/>
          <w:szCs w:val="22"/>
          <w:highlight w:val="none"/>
        </w:rPr>
        <w:t xml:space="preserve"> 招标编号：</w:t>
      </w:r>
      <w:r>
        <w:rPr>
          <w:rFonts w:ascii="Times New Roman" w:hAnsi="Times New Roman"/>
          <w:color w:val="auto"/>
          <w:sz w:val="24"/>
          <w:szCs w:val="22"/>
          <w:highlight w:val="none"/>
          <w:u w:val="single"/>
        </w:rPr>
        <w:t xml:space="preserve">                       </w:t>
      </w:r>
    </w:p>
    <w:p>
      <w:pPr>
        <w:spacing w:line="760" w:lineRule="exact"/>
        <w:rPr>
          <w:rFonts w:ascii="Times New Roman" w:hAnsi="Times New Roman"/>
          <w:b/>
          <w:color w:val="auto"/>
          <w:sz w:val="28"/>
          <w:highlight w:val="none"/>
        </w:rPr>
      </w:pPr>
    </w:p>
    <w:p>
      <w:pPr>
        <w:spacing w:line="760" w:lineRule="exact"/>
        <w:rPr>
          <w:rFonts w:ascii="Times New Roman" w:hAnsi="Times New Roman"/>
          <w:b/>
          <w:color w:val="auto"/>
          <w:sz w:val="28"/>
          <w:highlight w:val="none"/>
        </w:rPr>
      </w:pPr>
    </w:p>
    <w:p>
      <w:pPr>
        <w:spacing w:line="760" w:lineRule="exact"/>
        <w:rPr>
          <w:rFonts w:ascii="Times New Roman" w:hAnsi="Times New Roman"/>
          <w:b/>
          <w:color w:val="auto"/>
          <w:sz w:val="28"/>
          <w:highlight w:val="none"/>
        </w:rPr>
      </w:pPr>
    </w:p>
    <w:p>
      <w:pPr>
        <w:spacing w:line="760" w:lineRule="exact"/>
        <w:rPr>
          <w:rFonts w:ascii="Times New Roman" w:hAnsi="Times New Roman"/>
          <w:color w:val="auto"/>
          <w:sz w:val="24"/>
          <w:szCs w:val="22"/>
          <w:highlight w:val="none"/>
          <w:u w:val="single"/>
        </w:rPr>
      </w:pPr>
      <w:r>
        <w:rPr>
          <w:rFonts w:ascii="Times New Roman" w:hAnsi="Times New Roman"/>
          <w:color w:val="auto"/>
          <w:sz w:val="24"/>
          <w:szCs w:val="22"/>
          <w:highlight w:val="none"/>
        </w:rPr>
        <w:t xml:space="preserve">     投标人：</w:t>
      </w:r>
      <w:r>
        <w:rPr>
          <w:rFonts w:ascii="Times New Roman" w:hAnsi="Times New Roman"/>
          <w:color w:val="auto"/>
          <w:sz w:val="24"/>
          <w:szCs w:val="22"/>
          <w:highlight w:val="none"/>
          <w:u w:val="single"/>
        </w:rPr>
        <w:t xml:space="preserve">                                       (单位盖章)  </w:t>
      </w:r>
    </w:p>
    <w:p>
      <w:pPr>
        <w:spacing w:line="760" w:lineRule="exact"/>
        <w:rPr>
          <w:rFonts w:ascii="Times New Roman" w:hAnsi="Times New Roman"/>
          <w:color w:val="auto"/>
          <w:sz w:val="24"/>
          <w:szCs w:val="22"/>
          <w:highlight w:val="none"/>
          <w:u w:val="single"/>
        </w:rPr>
      </w:pPr>
      <w:r>
        <w:rPr>
          <w:rFonts w:ascii="Times New Roman" w:hAnsi="Times New Roman"/>
          <w:color w:val="auto"/>
          <w:sz w:val="24"/>
          <w:szCs w:val="22"/>
          <w:highlight w:val="none"/>
        </w:rPr>
        <w:t xml:space="preserve">     法定代表人或其委托代理人：</w:t>
      </w:r>
      <w:r>
        <w:rPr>
          <w:rFonts w:ascii="Times New Roman" w:hAnsi="Times New Roman"/>
          <w:color w:val="auto"/>
          <w:sz w:val="24"/>
          <w:szCs w:val="22"/>
          <w:highlight w:val="none"/>
          <w:u w:val="single"/>
        </w:rPr>
        <w:t xml:space="preserve">                     (签字或盖章) </w:t>
      </w:r>
    </w:p>
    <w:p>
      <w:pPr>
        <w:spacing w:line="760" w:lineRule="exact"/>
        <w:rPr>
          <w:rFonts w:ascii="Times New Roman" w:hAnsi="Times New Roman"/>
          <w:color w:val="auto"/>
          <w:sz w:val="22"/>
          <w:szCs w:val="22"/>
          <w:highlight w:val="none"/>
        </w:rPr>
      </w:pPr>
      <w:r>
        <w:rPr>
          <w:rFonts w:ascii="Times New Roman" w:hAnsi="Times New Roman"/>
          <w:color w:val="auto"/>
          <w:sz w:val="24"/>
          <w:szCs w:val="22"/>
          <w:highlight w:val="none"/>
        </w:rPr>
        <w:t xml:space="preserve">     日期：</w:t>
      </w:r>
      <w:r>
        <w:rPr>
          <w:rFonts w:ascii="Times New Roman" w:hAnsi="Times New Roman"/>
          <w:color w:val="auto"/>
          <w:sz w:val="24"/>
          <w:szCs w:val="22"/>
          <w:highlight w:val="none"/>
          <w:u w:val="single"/>
        </w:rPr>
        <w:t xml:space="preserve">                </w:t>
      </w:r>
      <w:r>
        <w:rPr>
          <w:rFonts w:ascii="Times New Roman" w:hAnsi="Times New Roman"/>
          <w:color w:val="auto"/>
          <w:sz w:val="24"/>
          <w:szCs w:val="22"/>
          <w:highlight w:val="none"/>
        </w:rPr>
        <w:t>年</w:t>
      </w:r>
      <w:r>
        <w:rPr>
          <w:rFonts w:ascii="Times New Roman" w:hAnsi="Times New Roman"/>
          <w:color w:val="auto"/>
          <w:sz w:val="24"/>
          <w:szCs w:val="22"/>
          <w:highlight w:val="none"/>
          <w:u w:val="single"/>
        </w:rPr>
        <w:t xml:space="preserve">                </w:t>
      </w:r>
      <w:r>
        <w:rPr>
          <w:rFonts w:ascii="Times New Roman" w:hAnsi="Times New Roman"/>
          <w:color w:val="auto"/>
          <w:sz w:val="24"/>
          <w:szCs w:val="22"/>
          <w:highlight w:val="none"/>
        </w:rPr>
        <w:t>月</w:t>
      </w:r>
      <w:r>
        <w:rPr>
          <w:rFonts w:ascii="Times New Roman" w:hAnsi="Times New Roman"/>
          <w:color w:val="auto"/>
          <w:sz w:val="24"/>
          <w:szCs w:val="22"/>
          <w:highlight w:val="none"/>
          <w:u w:val="single"/>
        </w:rPr>
        <w:t xml:space="preserve">               </w:t>
      </w:r>
      <w:r>
        <w:rPr>
          <w:rFonts w:ascii="Times New Roman" w:hAnsi="Times New Roman"/>
          <w:color w:val="auto"/>
          <w:sz w:val="24"/>
          <w:szCs w:val="22"/>
          <w:highlight w:val="none"/>
        </w:rPr>
        <w:t>日</w:t>
      </w:r>
    </w:p>
    <w:p>
      <w:pPr>
        <w:spacing w:line="360" w:lineRule="auto"/>
        <w:ind w:firstLine="480" w:firstLineChars="200"/>
        <w:rPr>
          <w:rFonts w:ascii="Times New Roman" w:hAnsi="Times New Roman"/>
          <w:bCs/>
          <w:color w:val="auto"/>
          <w:sz w:val="24"/>
          <w:highlight w:val="none"/>
        </w:rPr>
      </w:pPr>
    </w:p>
    <w:p>
      <w:pPr>
        <w:tabs>
          <w:tab w:val="left" w:pos="0"/>
          <w:tab w:val="left" w:pos="1440"/>
        </w:tabs>
        <w:ind w:right="25" w:rightChars="12" w:firstLine="359" w:firstLineChars="171"/>
        <w:rPr>
          <w:rFonts w:ascii="Times New Roman" w:hAnsi="Times New Roman" w:eastAsia="楷体_GB2312"/>
          <w:color w:val="auto"/>
          <w:szCs w:val="21"/>
          <w:highlight w:val="none"/>
        </w:rPr>
      </w:pPr>
      <w:r>
        <w:rPr>
          <w:rFonts w:ascii="Times New Roman" w:hAnsi="Times New Roman" w:eastAsia="楷体_GB2312"/>
          <w:color w:val="auto"/>
          <w:szCs w:val="21"/>
          <w:highlight w:val="none"/>
        </w:rPr>
        <w:t>【说明：当投标人采用硬质或塑胶等外封面不便签署时，外封面可不签署，但应在投标文件内按此格式设有内封面，并按此格式签署。】</w:t>
      </w:r>
    </w:p>
    <w:p>
      <w:pPr>
        <w:tabs>
          <w:tab w:val="left" w:pos="0"/>
          <w:tab w:val="left" w:pos="1440"/>
        </w:tabs>
        <w:ind w:right="25" w:rightChars="12"/>
        <w:rPr>
          <w:rFonts w:ascii="Times New Roman" w:hAnsi="Times New Roman" w:eastAsia="楷体_GB2312"/>
          <w:color w:val="auto"/>
          <w:szCs w:val="21"/>
          <w:highlight w:val="none"/>
        </w:rPr>
      </w:pPr>
    </w:p>
    <w:p>
      <w:pPr>
        <w:tabs>
          <w:tab w:val="left" w:pos="0"/>
          <w:tab w:val="left" w:pos="1440"/>
        </w:tabs>
        <w:ind w:right="25" w:rightChars="12" w:firstLine="359" w:firstLineChars="171"/>
        <w:rPr>
          <w:rFonts w:ascii="Times New Roman" w:hAnsi="Times New Roman" w:eastAsia="楷体_GB2312"/>
          <w:color w:val="auto"/>
          <w:szCs w:val="21"/>
          <w:highlight w:val="none"/>
        </w:rPr>
      </w:pPr>
    </w:p>
    <w:p>
      <w:pPr>
        <w:tabs>
          <w:tab w:val="left" w:pos="0"/>
          <w:tab w:val="left" w:pos="1440"/>
        </w:tabs>
        <w:spacing w:line="380" w:lineRule="exact"/>
        <w:ind w:right="25" w:rightChars="12"/>
        <w:jc w:val="left"/>
        <w:rPr>
          <w:rFonts w:ascii="Times New Roman" w:hAnsi="Times New Roman"/>
          <w:b/>
          <w:bCs/>
          <w:color w:val="auto"/>
          <w:sz w:val="28"/>
          <w:szCs w:val="22"/>
          <w:highlight w:val="none"/>
        </w:rPr>
      </w:pPr>
      <w:r>
        <w:rPr>
          <w:rFonts w:ascii="Times New Roman" w:hAnsi="Times New Roman"/>
          <w:color w:val="auto"/>
          <w:kern w:val="40"/>
          <w:sz w:val="22"/>
          <w:szCs w:val="28"/>
          <w:highlight w:val="none"/>
        </w:rPr>
        <w:br w:type="page"/>
      </w:r>
      <w:r>
        <w:rPr>
          <w:rFonts w:ascii="Times New Roman" w:hAnsi="Times New Roman"/>
          <w:color w:val="auto"/>
          <w:kern w:val="40"/>
          <w:sz w:val="22"/>
          <w:szCs w:val="28"/>
          <w:highlight w:val="none"/>
        </w:rPr>
        <w:t>格式二：</w:t>
      </w:r>
      <w:r>
        <w:rPr>
          <w:rFonts w:ascii="Times New Roman" w:hAnsi="Times New Roman"/>
          <w:b/>
          <w:bCs/>
          <w:color w:val="auto"/>
          <w:sz w:val="28"/>
          <w:szCs w:val="22"/>
          <w:highlight w:val="none"/>
        </w:rPr>
        <w:t xml:space="preserve">                    </w:t>
      </w:r>
    </w:p>
    <w:p>
      <w:pPr>
        <w:tabs>
          <w:tab w:val="left" w:pos="0"/>
          <w:tab w:val="left" w:pos="1440"/>
        </w:tabs>
        <w:spacing w:line="380" w:lineRule="exact"/>
        <w:jc w:val="center"/>
        <w:rPr>
          <w:rFonts w:ascii="Times New Roman" w:hAnsi="Times New Roman"/>
          <w:b/>
          <w:bCs/>
          <w:color w:val="auto"/>
          <w:sz w:val="28"/>
          <w:szCs w:val="22"/>
          <w:highlight w:val="none"/>
        </w:rPr>
      </w:pPr>
      <w:r>
        <w:rPr>
          <w:rFonts w:ascii="Times New Roman" w:hAnsi="Times New Roman"/>
          <w:b/>
          <w:bCs/>
          <w:color w:val="auto"/>
          <w:sz w:val="28"/>
          <w:szCs w:val="22"/>
          <w:highlight w:val="none"/>
        </w:rPr>
        <w:t>投  标  函</w:t>
      </w:r>
    </w:p>
    <w:p>
      <w:pPr>
        <w:tabs>
          <w:tab w:val="left" w:pos="7560"/>
        </w:tabs>
        <w:spacing w:line="540" w:lineRule="exact"/>
        <w:ind w:right="12"/>
        <w:rPr>
          <w:rFonts w:ascii="Times New Roman" w:hAnsi="Times New Roman"/>
          <w:b/>
          <w:bCs/>
          <w:i/>
          <w:iCs/>
          <w:color w:val="auto"/>
          <w:sz w:val="22"/>
          <w:szCs w:val="22"/>
          <w:highlight w:val="none"/>
        </w:rPr>
      </w:pPr>
    </w:p>
    <w:p>
      <w:pPr>
        <w:tabs>
          <w:tab w:val="left" w:pos="7560"/>
        </w:tabs>
        <w:spacing w:line="540" w:lineRule="exact"/>
        <w:ind w:right="12"/>
        <w:rPr>
          <w:rFonts w:ascii="Times New Roman" w:hAnsi="Times New Roman"/>
          <w:b/>
          <w:bCs/>
          <w:color w:val="auto"/>
          <w:sz w:val="24"/>
          <w:highlight w:val="none"/>
        </w:rPr>
      </w:pPr>
      <w:r>
        <w:rPr>
          <w:rFonts w:ascii="Times New Roman" w:hAnsi="Times New Roman"/>
          <w:b/>
          <w:bCs/>
          <w:color w:val="auto"/>
          <w:sz w:val="24"/>
          <w:highlight w:val="none"/>
        </w:rPr>
        <w:t>致：株洲市清水塘投资集团有限公司</w:t>
      </w:r>
    </w:p>
    <w:p>
      <w:pPr>
        <w:autoSpaceDN w:val="0"/>
        <w:snapToGrid w:val="0"/>
        <w:spacing w:line="400" w:lineRule="exact"/>
        <w:ind w:firstLine="440" w:firstLineChars="200"/>
        <w:jc w:val="left"/>
        <w:rPr>
          <w:rFonts w:ascii="Times New Roman" w:hAnsi="Times New Roman"/>
          <w:color w:val="auto"/>
          <w:sz w:val="22"/>
          <w:szCs w:val="22"/>
          <w:highlight w:val="none"/>
        </w:rPr>
      </w:pPr>
      <w:r>
        <w:rPr>
          <w:rFonts w:hint="eastAsia" w:ascii="Times New Roman" w:hAnsi="Times New Roman"/>
          <w:color w:val="auto"/>
          <w:sz w:val="22"/>
          <w:szCs w:val="22"/>
          <w:highlight w:val="none"/>
        </w:rPr>
        <w:t>1、</w:t>
      </w:r>
      <w:r>
        <w:rPr>
          <w:rFonts w:ascii="Times New Roman" w:hAnsi="Times New Roman"/>
          <w:color w:val="auto"/>
          <w:sz w:val="22"/>
          <w:szCs w:val="22"/>
          <w:highlight w:val="none"/>
        </w:rPr>
        <w:t>根据你方招标项目编号为</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的</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招标文件，遵照《中华人民共和国招标投标法》等有关规定，经踏勘项目现场和研究上述招标文件的投标须知、合同条款、技术规范、设计施工图纸及其他有关文件后，我方愿按人民币（大写）</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（￥RMB</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元）作为本工程监理服务总费用，并按合同条件、设计规范、勘察规范、监理规范、施工技术规范和设计、勘察合同、施工合同及国家、地方有关规定的要求，承担并完成上述工程的监理服务任务。</w:t>
      </w:r>
    </w:p>
    <w:p>
      <w:pPr>
        <w:autoSpaceDN w:val="0"/>
        <w:snapToGrid w:val="0"/>
        <w:spacing w:line="400" w:lineRule="exact"/>
        <w:ind w:firstLine="440" w:firstLineChars="200"/>
        <w:jc w:val="left"/>
        <w:rPr>
          <w:rFonts w:ascii="Times New Roman" w:hAnsi="Times New Roman"/>
          <w:bCs/>
          <w:color w:val="auto"/>
          <w:kern w:val="0"/>
          <w:szCs w:val="21"/>
          <w:highlight w:val="none"/>
          <w:u w:val="single"/>
        </w:rPr>
      </w:pPr>
      <w:r>
        <w:rPr>
          <w:rFonts w:ascii="Times New Roman" w:hAnsi="Times New Roman"/>
          <w:color w:val="auto"/>
          <w:sz w:val="22"/>
          <w:szCs w:val="22"/>
          <w:highlight w:val="none"/>
        </w:rPr>
        <w:t>2、我方已详细审核全部招标文件，包括修改文件及附件。</w:t>
      </w:r>
    </w:p>
    <w:p>
      <w:pPr>
        <w:autoSpaceDN w:val="0"/>
        <w:snapToGrid w:val="0"/>
        <w:spacing w:line="400" w:lineRule="exact"/>
        <w:ind w:firstLine="440" w:firstLineChars="200"/>
        <w:jc w:val="left"/>
        <w:rPr>
          <w:rFonts w:ascii="Times New Roman" w:hAnsi="Times New Roman"/>
          <w:bCs/>
          <w:color w:val="auto"/>
          <w:kern w:val="0"/>
          <w:szCs w:val="21"/>
          <w:highlight w:val="none"/>
          <w:u w:val="single"/>
        </w:rPr>
      </w:pPr>
      <w:r>
        <w:rPr>
          <w:rFonts w:ascii="Times New Roman" w:hAnsi="Times New Roman"/>
          <w:color w:val="auto"/>
          <w:sz w:val="22"/>
          <w:szCs w:val="22"/>
          <w:highlight w:val="none"/>
        </w:rPr>
        <w:t>3、我方承认投标函附录是我方投标函的组成部分。</w:t>
      </w:r>
    </w:p>
    <w:p>
      <w:pPr>
        <w:autoSpaceDN w:val="0"/>
        <w:snapToGrid w:val="0"/>
        <w:spacing w:line="400" w:lineRule="exact"/>
        <w:ind w:firstLine="440" w:firstLineChars="200"/>
        <w:jc w:val="left"/>
        <w:rPr>
          <w:rFonts w:ascii="Times New Roman" w:hAnsi="Times New Roman"/>
          <w:bCs/>
          <w:color w:val="auto"/>
          <w:kern w:val="0"/>
          <w:szCs w:val="21"/>
          <w:highlight w:val="none"/>
          <w:u w:val="single"/>
        </w:rPr>
      </w:pPr>
      <w:r>
        <w:rPr>
          <w:rFonts w:ascii="Times New Roman" w:hAnsi="Times New Roman"/>
          <w:color w:val="auto"/>
          <w:sz w:val="22"/>
          <w:szCs w:val="22"/>
          <w:highlight w:val="none"/>
        </w:rPr>
        <w:t>4、如果贵公司接受我方的投标，我方保证在双方签署的监理合同协议中规定的期限进场并完成合同规定的全部监理任务。</w:t>
      </w:r>
    </w:p>
    <w:p>
      <w:pPr>
        <w:autoSpaceDN w:val="0"/>
        <w:snapToGrid w:val="0"/>
        <w:spacing w:line="400" w:lineRule="exact"/>
        <w:ind w:firstLine="440" w:firstLineChars="200"/>
        <w:jc w:val="left"/>
        <w:rPr>
          <w:rFonts w:ascii="Times New Roman" w:hAnsi="Times New Roman"/>
          <w:bCs/>
          <w:color w:val="auto"/>
          <w:kern w:val="0"/>
          <w:szCs w:val="21"/>
          <w:highlight w:val="none"/>
          <w:u w:val="single"/>
        </w:rPr>
      </w:pPr>
      <w:r>
        <w:rPr>
          <w:rFonts w:ascii="Times New Roman" w:hAnsi="Times New Roman"/>
          <w:color w:val="auto"/>
          <w:sz w:val="22"/>
          <w:szCs w:val="22"/>
          <w:highlight w:val="none"/>
        </w:rPr>
        <w:t>5、我方同意所递交的投标文件在招标文件的投标须知中第17条规定的投标有效期内有效，在此期间内如果中标，我方将受此约束。</w:t>
      </w:r>
    </w:p>
    <w:p>
      <w:pPr>
        <w:autoSpaceDN w:val="0"/>
        <w:snapToGrid w:val="0"/>
        <w:spacing w:line="400" w:lineRule="exact"/>
        <w:ind w:firstLine="440" w:firstLineChars="200"/>
        <w:jc w:val="left"/>
        <w:rPr>
          <w:rFonts w:ascii="Times New Roman" w:hAnsi="Times New Roman"/>
          <w:bCs/>
          <w:color w:val="auto"/>
          <w:kern w:val="0"/>
          <w:szCs w:val="21"/>
          <w:highlight w:val="none"/>
          <w:u w:val="single"/>
        </w:rPr>
      </w:pPr>
      <w:r>
        <w:rPr>
          <w:rFonts w:ascii="Times New Roman" w:hAnsi="Times New Roman"/>
          <w:color w:val="auto"/>
          <w:sz w:val="22"/>
          <w:szCs w:val="22"/>
          <w:highlight w:val="none"/>
        </w:rPr>
        <w:t>6、除非另外达成协议并生效，你方的中标通知书和本投标文件将成为约束双方的合同文件的组成部分。</w:t>
      </w:r>
    </w:p>
    <w:p>
      <w:pPr>
        <w:autoSpaceDN w:val="0"/>
        <w:snapToGrid w:val="0"/>
        <w:spacing w:line="400" w:lineRule="exact"/>
        <w:ind w:firstLine="440" w:firstLineChars="200"/>
        <w:jc w:val="left"/>
        <w:rPr>
          <w:rFonts w:ascii="Times New Roman" w:hAnsi="Times New Roman"/>
          <w:bCs/>
          <w:color w:val="auto"/>
          <w:kern w:val="0"/>
          <w:szCs w:val="21"/>
          <w:highlight w:val="none"/>
          <w:u w:val="single"/>
        </w:rPr>
      </w:pPr>
      <w:r>
        <w:rPr>
          <w:rFonts w:ascii="Times New Roman" w:hAnsi="Times New Roman"/>
          <w:color w:val="auto"/>
          <w:sz w:val="22"/>
          <w:szCs w:val="22"/>
          <w:highlight w:val="none"/>
        </w:rPr>
        <w:t>7、我方将与本投标函一起，提交投标担保承诺书。</w:t>
      </w:r>
    </w:p>
    <w:p>
      <w:pPr>
        <w:rPr>
          <w:rFonts w:ascii="Times New Roman" w:hAnsi="Times New Roman"/>
          <w:color w:val="auto"/>
          <w:sz w:val="22"/>
          <w:szCs w:val="22"/>
          <w:highlight w:val="none"/>
        </w:rPr>
      </w:pPr>
    </w:p>
    <w:p>
      <w:pPr>
        <w:rPr>
          <w:rFonts w:ascii="Times New Roman" w:hAnsi="Times New Roman"/>
          <w:color w:val="auto"/>
          <w:sz w:val="22"/>
          <w:szCs w:val="22"/>
          <w:highlight w:val="none"/>
          <w:u w:val="single"/>
        </w:rPr>
      </w:pPr>
      <w:r>
        <w:rPr>
          <w:rFonts w:ascii="Times New Roman" w:hAnsi="Times New Roman"/>
          <w:color w:val="auto"/>
          <w:sz w:val="22"/>
          <w:szCs w:val="22"/>
          <w:highlight w:val="none"/>
        </w:rPr>
        <w:t>投标人：</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（盖章）</w:t>
      </w:r>
    </w:p>
    <w:p>
      <w:pPr>
        <w:rPr>
          <w:rFonts w:ascii="Times New Roman" w:hAnsi="Times New Roman"/>
          <w:color w:val="auto"/>
          <w:sz w:val="22"/>
          <w:szCs w:val="22"/>
          <w:highlight w:val="none"/>
          <w:u w:val="single"/>
        </w:rPr>
      </w:pPr>
    </w:p>
    <w:p>
      <w:pPr>
        <w:rPr>
          <w:rFonts w:ascii="Times New Roman" w:hAnsi="Times New Roman"/>
          <w:color w:val="auto"/>
          <w:sz w:val="22"/>
          <w:szCs w:val="22"/>
          <w:highlight w:val="none"/>
          <w:u w:val="single"/>
        </w:rPr>
      </w:pPr>
      <w:r>
        <w:rPr>
          <w:rFonts w:ascii="Times New Roman" w:hAnsi="Times New Roman"/>
          <w:color w:val="auto"/>
          <w:sz w:val="22"/>
          <w:szCs w:val="22"/>
          <w:highlight w:val="none"/>
        </w:rPr>
        <w:t>法人代表或其委托代理人：</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（签字或盖章）</w:t>
      </w:r>
    </w:p>
    <w:p>
      <w:pPr>
        <w:rPr>
          <w:rFonts w:ascii="Times New Roman" w:hAnsi="Times New Roman"/>
          <w:color w:val="auto"/>
          <w:sz w:val="22"/>
          <w:szCs w:val="22"/>
          <w:highlight w:val="none"/>
          <w:u w:val="single"/>
        </w:rPr>
      </w:pPr>
    </w:p>
    <w:p>
      <w:pPr>
        <w:rPr>
          <w:rFonts w:ascii="Times New Roman" w:hAnsi="Times New Roman"/>
          <w:color w:val="auto"/>
          <w:sz w:val="22"/>
          <w:szCs w:val="22"/>
          <w:highlight w:val="none"/>
        </w:rPr>
      </w:pPr>
      <w:r>
        <w:rPr>
          <w:rFonts w:ascii="Times New Roman" w:hAnsi="Times New Roman"/>
          <w:color w:val="auto"/>
          <w:sz w:val="22"/>
          <w:szCs w:val="22"/>
          <w:highlight w:val="none"/>
        </w:rPr>
        <w:t xml:space="preserve">日  期：        年     月     日        </w:t>
      </w:r>
    </w:p>
    <w:p>
      <w:pPr>
        <w:rPr>
          <w:rFonts w:ascii="Times New Roman" w:hAnsi="Times New Roman"/>
          <w:color w:val="auto"/>
          <w:sz w:val="22"/>
          <w:szCs w:val="22"/>
          <w:highlight w:val="none"/>
          <w:u w:val="single"/>
        </w:rPr>
      </w:pPr>
    </w:p>
    <w:p>
      <w:pPr>
        <w:rPr>
          <w:rFonts w:ascii="Times New Roman" w:hAnsi="Times New Roman"/>
          <w:color w:val="auto"/>
          <w:sz w:val="22"/>
          <w:szCs w:val="22"/>
          <w:highlight w:val="none"/>
          <w:u w:val="single"/>
        </w:rPr>
      </w:pPr>
    </w:p>
    <w:p>
      <w:pPr>
        <w:rPr>
          <w:rFonts w:ascii="Times New Roman" w:hAnsi="Times New Roman"/>
          <w:color w:val="auto"/>
          <w:sz w:val="22"/>
          <w:szCs w:val="22"/>
          <w:highlight w:val="none"/>
          <w:u w:val="single"/>
        </w:rPr>
      </w:pPr>
    </w:p>
    <w:p>
      <w:pPr>
        <w:rPr>
          <w:rFonts w:ascii="Times New Roman" w:hAnsi="Times New Roman"/>
          <w:color w:val="auto"/>
          <w:sz w:val="22"/>
          <w:szCs w:val="22"/>
          <w:highlight w:val="none"/>
          <w:u w:val="single"/>
        </w:rPr>
      </w:pPr>
    </w:p>
    <w:p>
      <w:pPr>
        <w:tabs>
          <w:tab w:val="left" w:pos="900"/>
          <w:tab w:val="left" w:pos="1440"/>
        </w:tabs>
        <w:jc w:val="center"/>
        <w:rPr>
          <w:rFonts w:ascii="Times New Roman" w:hAnsi="Times New Roman"/>
          <w:color w:val="auto"/>
          <w:sz w:val="24"/>
          <w:szCs w:val="22"/>
          <w:highlight w:val="none"/>
        </w:rPr>
      </w:pPr>
      <w:r>
        <w:rPr>
          <w:rFonts w:ascii="Times New Roman" w:hAnsi="Times New Roman"/>
          <w:b/>
          <w:bCs/>
          <w:color w:val="auto"/>
          <w:sz w:val="28"/>
          <w:szCs w:val="28"/>
          <w:highlight w:val="none"/>
        </w:rPr>
        <w:br w:type="page"/>
      </w:r>
      <w:r>
        <w:rPr>
          <w:rFonts w:ascii="Times New Roman" w:hAnsi="Times New Roman"/>
          <w:b/>
          <w:bCs/>
          <w:color w:val="auto"/>
          <w:sz w:val="28"/>
          <w:szCs w:val="28"/>
          <w:highlight w:val="none"/>
        </w:rPr>
        <w:t>投 标 函 附 录</w:t>
      </w:r>
    </w:p>
    <w:tbl>
      <w:tblPr>
        <w:tblStyle w:val="18"/>
        <w:tblpPr w:leftFromText="180" w:rightFromText="180" w:vertAnchor="text" w:horzAnchor="margin" w:tblpY="90"/>
        <w:tblOverlap w:val="never"/>
        <w:tblW w:w="9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374"/>
        <w:gridCol w:w="6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trPr>
        <w:tc>
          <w:tcPr>
            <w:tcW w:w="720" w:type="dxa"/>
            <w:vAlign w:val="center"/>
          </w:tcPr>
          <w:p>
            <w:pPr>
              <w:tabs>
                <w:tab w:val="left" w:pos="900"/>
                <w:tab w:val="left" w:pos="1440"/>
              </w:tabs>
              <w:jc w:val="center"/>
              <w:rPr>
                <w:rFonts w:ascii="Times New Roman" w:hAnsi="Times New Roman"/>
                <w:color w:val="auto"/>
                <w:sz w:val="22"/>
                <w:szCs w:val="22"/>
                <w:highlight w:val="none"/>
              </w:rPr>
            </w:pPr>
            <w:r>
              <w:rPr>
                <w:rFonts w:ascii="Times New Roman" w:hAnsi="Times New Roman"/>
                <w:color w:val="auto"/>
                <w:sz w:val="22"/>
                <w:szCs w:val="22"/>
                <w:highlight w:val="none"/>
              </w:rPr>
              <w:t>序号</w:t>
            </w:r>
          </w:p>
        </w:tc>
        <w:tc>
          <w:tcPr>
            <w:tcW w:w="2374" w:type="dxa"/>
            <w:vAlign w:val="center"/>
          </w:tcPr>
          <w:p>
            <w:pPr>
              <w:tabs>
                <w:tab w:val="left" w:pos="900"/>
                <w:tab w:val="left" w:pos="1440"/>
              </w:tabs>
              <w:jc w:val="center"/>
              <w:rPr>
                <w:rFonts w:ascii="Times New Roman" w:hAnsi="Times New Roman"/>
                <w:color w:val="auto"/>
                <w:sz w:val="22"/>
                <w:szCs w:val="22"/>
                <w:highlight w:val="none"/>
              </w:rPr>
            </w:pPr>
            <w:r>
              <w:rPr>
                <w:rFonts w:ascii="Times New Roman" w:hAnsi="Times New Roman"/>
                <w:color w:val="auto"/>
                <w:sz w:val="22"/>
                <w:szCs w:val="22"/>
                <w:highlight w:val="none"/>
              </w:rPr>
              <w:t>项 目 内 容</w:t>
            </w:r>
          </w:p>
        </w:tc>
        <w:tc>
          <w:tcPr>
            <w:tcW w:w="6079" w:type="dxa"/>
            <w:vAlign w:val="center"/>
          </w:tcPr>
          <w:p>
            <w:pPr>
              <w:tabs>
                <w:tab w:val="left" w:pos="900"/>
                <w:tab w:val="left" w:pos="1440"/>
              </w:tabs>
              <w:jc w:val="center"/>
              <w:rPr>
                <w:rFonts w:ascii="Times New Roman" w:hAnsi="Times New Roman"/>
                <w:color w:val="auto"/>
                <w:sz w:val="22"/>
                <w:szCs w:val="22"/>
                <w:highlight w:val="none"/>
              </w:rPr>
            </w:pPr>
            <w:r>
              <w:rPr>
                <w:rFonts w:ascii="Times New Roman" w:hAnsi="Times New Roman"/>
                <w:color w:val="auto"/>
                <w:sz w:val="22"/>
                <w:szCs w:val="22"/>
                <w:highlight w:val="none"/>
              </w:rPr>
              <w:t>约 定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20" w:type="dxa"/>
            <w:vAlign w:val="center"/>
          </w:tcPr>
          <w:p>
            <w:pPr>
              <w:tabs>
                <w:tab w:val="left" w:pos="900"/>
                <w:tab w:val="left" w:pos="1440"/>
              </w:tabs>
              <w:jc w:val="center"/>
              <w:rPr>
                <w:rFonts w:ascii="Times New Roman" w:hAnsi="Times New Roman"/>
                <w:color w:val="auto"/>
                <w:sz w:val="22"/>
                <w:szCs w:val="22"/>
                <w:highlight w:val="none"/>
              </w:rPr>
            </w:pPr>
            <w:r>
              <w:rPr>
                <w:rFonts w:ascii="Times New Roman" w:hAnsi="Times New Roman"/>
                <w:color w:val="auto"/>
                <w:sz w:val="22"/>
                <w:szCs w:val="22"/>
                <w:highlight w:val="none"/>
              </w:rPr>
              <w:t>1</w:t>
            </w:r>
          </w:p>
        </w:tc>
        <w:tc>
          <w:tcPr>
            <w:tcW w:w="2374" w:type="dxa"/>
            <w:vAlign w:val="center"/>
          </w:tcPr>
          <w:p>
            <w:pPr>
              <w:tabs>
                <w:tab w:val="left" w:pos="900"/>
                <w:tab w:val="left" w:pos="1440"/>
              </w:tabs>
              <w:rPr>
                <w:rFonts w:ascii="Times New Roman" w:hAnsi="Times New Roman"/>
                <w:color w:val="auto"/>
                <w:sz w:val="22"/>
                <w:szCs w:val="22"/>
                <w:highlight w:val="none"/>
              </w:rPr>
            </w:pPr>
            <w:r>
              <w:rPr>
                <w:rFonts w:ascii="Times New Roman" w:hAnsi="Times New Roman"/>
                <w:color w:val="auto"/>
                <w:sz w:val="22"/>
                <w:szCs w:val="22"/>
                <w:highlight w:val="none"/>
              </w:rPr>
              <w:t>投标报价</w:t>
            </w:r>
          </w:p>
        </w:tc>
        <w:tc>
          <w:tcPr>
            <w:tcW w:w="6079" w:type="dxa"/>
            <w:vAlign w:val="center"/>
          </w:tcPr>
          <w:p>
            <w:pPr>
              <w:tabs>
                <w:tab w:val="left" w:pos="7560"/>
              </w:tabs>
              <w:spacing w:line="540" w:lineRule="exact"/>
              <w:ind w:right="12"/>
              <w:rPr>
                <w:rFonts w:ascii="Times New Roman" w:hAnsi="Times New Roman"/>
                <w:color w:val="auto"/>
                <w:sz w:val="22"/>
                <w:szCs w:val="22"/>
                <w:highlight w:val="none"/>
              </w:rPr>
            </w:pPr>
            <w:r>
              <w:rPr>
                <w:rFonts w:ascii="Times New Roman" w:hAnsi="Times New Roman"/>
                <w:color w:val="auto"/>
                <w:sz w:val="22"/>
                <w:szCs w:val="22"/>
                <w:highlight w:val="none"/>
              </w:rPr>
              <w:t>人民币（大写）：</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720" w:type="dxa"/>
            <w:vAlign w:val="center"/>
          </w:tcPr>
          <w:p>
            <w:pPr>
              <w:tabs>
                <w:tab w:val="left" w:pos="900"/>
                <w:tab w:val="left" w:pos="1440"/>
              </w:tabs>
              <w:jc w:val="center"/>
              <w:rPr>
                <w:rFonts w:ascii="Times New Roman" w:hAnsi="Times New Roman"/>
                <w:color w:val="auto"/>
                <w:sz w:val="22"/>
                <w:szCs w:val="22"/>
                <w:highlight w:val="none"/>
              </w:rPr>
            </w:pPr>
            <w:r>
              <w:rPr>
                <w:rFonts w:ascii="Times New Roman" w:hAnsi="Times New Roman"/>
                <w:color w:val="auto"/>
                <w:sz w:val="22"/>
                <w:szCs w:val="22"/>
                <w:highlight w:val="none"/>
              </w:rPr>
              <w:t>2</w:t>
            </w:r>
          </w:p>
        </w:tc>
        <w:tc>
          <w:tcPr>
            <w:tcW w:w="2374" w:type="dxa"/>
            <w:vAlign w:val="center"/>
          </w:tcPr>
          <w:p>
            <w:pPr>
              <w:tabs>
                <w:tab w:val="left" w:pos="900"/>
                <w:tab w:val="left" w:pos="1440"/>
              </w:tabs>
              <w:rPr>
                <w:rFonts w:ascii="Times New Roman" w:hAnsi="Times New Roman"/>
                <w:color w:val="auto"/>
                <w:sz w:val="22"/>
                <w:szCs w:val="22"/>
                <w:highlight w:val="none"/>
              </w:rPr>
            </w:pPr>
            <w:r>
              <w:rPr>
                <w:rFonts w:ascii="Times New Roman" w:hAnsi="Times New Roman"/>
                <w:color w:val="auto"/>
                <w:sz w:val="22"/>
                <w:szCs w:val="22"/>
                <w:highlight w:val="none"/>
              </w:rPr>
              <w:t>投标担保</w:t>
            </w:r>
          </w:p>
        </w:tc>
        <w:tc>
          <w:tcPr>
            <w:tcW w:w="6079" w:type="dxa"/>
            <w:vAlign w:val="center"/>
          </w:tcPr>
          <w:p>
            <w:pPr>
              <w:tabs>
                <w:tab w:val="left" w:pos="900"/>
                <w:tab w:val="left" w:pos="1440"/>
              </w:tabs>
              <w:rPr>
                <w:rFonts w:ascii="Times New Roman" w:hAnsi="Times New Roman"/>
                <w:color w:val="auto"/>
                <w:sz w:val="22"/>
                <w:szCs w:val="22"/>
                <w:highlight w:val="none"/>
              </w:rPr>
            </w:pPr>
            <w:r>
              <w:rPr>
                <w:rFonts w:ascii="Times New Roman" w:hAnsi="Times New Roman"/>
                <w:color w:val="auto"/>
                <w:sz w:val="22"/>
                <w:szCs w:val="22"/>
                <w:highlight w:val="none"/>
              </w:rPr>
              <w:t>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trPr>
        <w:tc>
          <w:tcPr>
            <w:tcW w:w="720" w:type="dxa"/>
            <w:vAlign w:val="center"/>
          </w:tcPr>
          <w:p>
            <w:pPr>
              <w:tabs>
                <w:tab w:val="left" w:pos="900"/>
                <w:tab w:val="left" w:pos="1440"/>
              </w:tabs>
              <w:jc w:val="center"/>
              <w:rPr>
                <w:rFonts w:ascii="Times New Roman" w:hAnsi="Times New Roman"/>
                <w:color w:val="auto"/>
                <w:sz w:val="22"/>
                <w:szCs w:val="22"/>
                <w:highlight w:val="none"/>
              </w:rPr>
            </w:pPr>
            <w:r>
              <w:rPr>
                <w:rFonts w:ascii="Times New Roman" w:hAnsi="Times New Roman"/>
                <w:color w:val="auto"/>
                <w:sz w:val="22"/>
                <w:szCs w:val="22"/>
                <w:highlight w:val="none"/>
              </w:rPr>
              <w:t>3</w:t>
            </w:r>
          </w:p>
        </w:tc>
        <w:tc>
          <w:tcPr>
            <w:tcW w:w="2374" w:type="dxa"/>
            <w:vAlign w:val="center"/>
          </w:tcPr>
          <w:p>
            <w:pPr>
              <w:tabs>
                <w:tab w:val="left" w:pos="900"/>
                <w:tab w:val="left" w:pos="1440"/>
              </w:tabs>
              <w:rPr>
                <w:rFonts w:ascii="Times New Roman" w:hAnsi="Times New Roman"/>
                <w:color w:val="auto"/>
                <w:sz w:val="22"/>
                <w:szCs w:val="22"/>
                <w:highlight w:val="none"/>
              </w:rPr>
            </w:pPr>
            <w:r>
              <w:rPr>
                <w:rFonts w:ascii="Times New Roman" w:hAnsi="Times New Roman"/>
                <w:color w:val="auto"/>
                <w:sz w:val="22"/>
                <w:szCs w:val="22"/>
                <w:highlight w:val="none"/>
              </w:rPr>
              <w:t>监理服务期限</w:t>
            </w:r>
          </w:p>
        </w:tc>
        <w:tc>
          <w:tcPr>
            <w:tcW w:w="6079" w:type="dxa"/>
            <w:vAlign w:val="center"/>
          </w:tcPr>
          <w:p>
            <w:pPr>
              <w:tabs>
                <w:tab w:val="left" w:pos="900"/>
                <w:tab w:val="left" w:pos="1440"/>
              </w:tabs>
              <w:rPr>
                <w:rFonts w:ascii="Times New Roman" w:hAnsi="Times New Roman"/>
                <w:color w:val="auto"/>
                <w:sz w:val="22"/>
                <w:szCs w:val="22"/>
                <w:highlight w:val="none"/>
              </w:rPr>
            </w:pPr>
            <w:r>
              <w:rPr>
                <w:rFonts w:ascii="Times New Roman" w:hAnsi="Times New Roman"/>
                <w:color w:val="auto"/>
                <w:sz w:val="22"/>
                <w:szCs w:val="22"/>
                <w:highlight w:val="none"/>
              </w:rPr>
              <w:t>以本招标工程项目的施工准备阶段、施工合同工期、交工验收工期另加缺陷责任期24个月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trPr>
        <w:tc>
          <w:tcPr>
            <w:tcW w:w="720" w:type="dxa"/>
            <w:vAlign w:val="center"/>
          </w:tcPr>
          <w:p>
            <w:pPr>
              <w:tabs>
                <w:tab w:val="left" w:pos="900"/>
                <w:tab w:val="left" w:pos="1440"/>
              </w:tabs>
              <w:jc w:val="center"/>
              <w:rPr>
                <w:rFonts w:ascii="Times New Roman" w:hAnsi="Times New Roman"/>
                <w:color w:val="auto"/>
                <w:sz w:val="22"/>
                <w:szCs w:val="22"/>
                <w:highlight w:val="none"/>
              </w:rPr>
            </w:pPr>
            <w:r>
              <w:rPr>
                <w:rFonts w:ascii="Times New Roman" w:hAnsi="Times New Roman"/>
                <w:color w:val="auto"/>
                <w:sz w:val="22"/>
                <w:szCs w:val="22"/>
                <w:highlight w:val="none"/>
              </w:rPr>
              <w:t>4</w:t>
            </w:r>
          </w:p>
        </w:tc>
        <w:tc>
          <w:tcPr>
            <w:tcW w:w="2374" w:type="dxa"/>
            <w:vAlign w:val="center"/>
          </w:tcPr>
          <w:p>
            <w:pPr>
              <w:tabs>
                <w:tab w:val="left" w:pos="900"/>
                <w:tab w:val="left" w:pos="1440"/>
              </w:tabs>
              <w:rPr>
                <w:rFonts w:ascii="Times New Roman" w:hAnsi="Times New Roman"/>
                <w:color w:val="auto"/>
                <w:sz w:val="22"/>
                <w:szCs w:val="22"/>
                <w:highlight w:val="none"/>
              </w:rPr>
            </w:pPr>
            <w:r>
              <w:rPr>
                <w:rFonts w:ascii="Times New Roman" w:hAnsi="Times New Roman"/>
                <w:color w:val="auto"/>
                <w:sz w:val="22"/>
                <w:szCs w:val="22"/>
                <w:highlight w:val="none"/>
              </w:rPr>
              <w:t>监理费的支付方式</w:t>
            </w:r>
          </w:p>
        </w:tc>
        <w:tc>
          <w:tcPr>
            <w:tcW w:w="6079" w:type="dxa"/>
            <w:vAlign w:val="center"/>
          </w:tcPr>
          <w:p>
            <w:pPr>
              <w:tabs>
                <w:tab w:val="left" w:pos="900"/>
                <w:tab w:val="left" w:pos="1440"/>
              </w:tabs>
              <w:rPr>
                <w:rFonts w:ascii="Times New Roman" w:hAnsi="Times New Roman"/>
                <w:color w:val="auto"/>
                <w:sz w:val="22"/>
                <w:szCs w:val="22"/>
                <w:highlight w:val="none"/>
              </w:rPr>
            </w:pPr>
            <w:r>
              <w:rPr>
                <w:rFonts w:ascii="Times New Roman" w:hAnsi="Times New Roman"/>
                <w:color w:val="auto"/>
                <w:sz w:val="22"/>
                <w:szCs w:val="22"/>
                <w:highlight w:val="none"/>
              </w:rPr>
              <w:t>按合同规定分期支付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trPr>
        <w:tc>
          <w:tcPr>
            <w:tcW w:w="720" w:type="dxa"/>
            <w:vAlign w:val="center"/>
          </w:tcPr>
          <w:p>
            <w:pPr>
              <w:tabs>
                <w:tab w:val="left" w:pos="900"/>
                <w:tab w:val="left" w:pos="1440"/>
              </w:tabs>
              <w:jc w:val="center"/>
              <w:rPr>
                <w:rFonts w:ascii="Times New Roman" w:hAnsi="Times New Roman"/>
                <w:color w:val="auto"/>
                <w:sz w:val="22"/>
                <w:szCs w:val="22"/>
                <w:highlight w:val="none"/>
              </w:rPr>
            </w:pPr>
            <w:r>
              <w:rPr>
                <w:rFonts w:ascii="Times New Roman" w:hAnsi="Times New Roman"/>
                <w:color w:val="auto"/>
                <w:sz w:val="22"/>
                <w:szCs w:val="22"/>
                <w:highlight w:val="none"/>
              </w:rPr>
              <w:t>5</w:t>
            </w:r>
          </w:p>
        </w:tc>
        <w:tc>
          <w:tcPr>
            <w:tcW w:w="2374" w:type="dxa"/>
            <w:vAlign w:val="center"/>
          </w:tcPr>
          <w:p>
            <w:pPr>
              <w:tabs>
                <w:tab w:val="left" w:pos="900"/>
                <w:tab w:val="left" w:pos="1440"/>
              </w:tabs>
              <w:rPr>
                <w:rFonts w:ascii="Times New Roman" w:hAnsi="Times New Roman"/>
                <w:color w:val="auto"/>
                <w:sz w:val="22"/>
                <w:szCs w:val="22"/>
                <w:highlight w:val="none"/>
              </w:rPr>
            </w:pPr>
            <w:r>
              <w:rPr>
                <w:rFonts w:ascii="Times New Roman" w:hAnsi="Times New Roman"/>
                <w:color w:val="auto"/>
                <w:sz w:val="22"/>
                <w:szCs w:val="22"/>
                <w:highlight w:val="none"/>
              </w:rPr>
              <w:t>未付款利率</w:t>
            </w:r>
          </w:p>
        </w:tc>
        <w:tc>
          <w:tcPr>
            <w:tcW w:w="6079" w:type="dxa"/>
            <w:vAlign w:val="center"/>
          </w:tcPr>
          <w:p>
            <w:pPr>
              <w:tabs>
                <w:tab w:val="left" w:pos="900"/>
                <w:tab w:val="left" w:pos="1440"/>
              </w:tabs>
              <w:rPr>
                <w:rFonts w:ascii="Times New Roman" w:hAnsi="Times New Roman"/>
                <w:color w:val="auto"/>
                <w:sz w:val="22"/>
                <w:szCs w:val="22"/>
                <w:highlight w:val="none"/>
              </w:rPr>
            </w:pPr>
            <w:r>
              <w:rPr>
                <w:rFonts w:ascii="Times New Roman" w:hAnsi="Times New Roman"/>
                <w:color w:val="auto"/>
                <w:sz w:val="22"/>
                <w:szCs w:val="22"/>
                <w:highlight w:val="none"/>
              </w:rPr>
              <w:t>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trPr>
        <w:tc>
          <w:tcPr>
            <w:tcW w:w="720" w:type="dxa"/>
            <w:vAlign w:val="center"/>
          </w:tcPr>
          <w:p>
            <w:pPr>
              <w:tabs>
                <w:tab w:val="left" w:pos="900"/>
                <w:tab w:val="left" w:pos="1440"/>
              </w:tabs>
              <w:jc w:val="center"/>
              <w:rPr>
                <w:rFonts w:ascii="Times New Roman" w:hAnsi="Times New Roman"/>
                <w:color w:val="auto"/>
                <w:sz w:val="22"/>
                <w:szCs w:val="22"/>
                <w:highlight w:val="none"/>
              </w:rPr>
            </w:pPr>
            <w:r>
              <w:rPr>
                <w:rFonts w:ascii="Times New Roman" w:hAnsi="Times New Roman"/>
                <w:color w:val="auto"/>
                <w:sz w:val="22"/>
                <w:szCs w:val="22"/>
                <w:highlight w:val="none"/>
              </w:rPr>
              <w:t>6</w:t>
            </w:r>
          </w:p>
        </w:tc>
        <w:tc>
          <w:tcPr>
            <w:tcW w:w="2374" w:type="dxa"/>
            <w:vAlign w:val="center"/>
          </w:tcPr>
          <w:p>
            <w:pPr>
              <w:spacing w:line="500" w:lineRule="exact"/>
              <w:rPr>
                <w:rFonts w:ascii="Times New Roman" w:hAnsi="Times New Roman"/>
                <w:color w:val="auto"/>
                <w:sz w:val="22"/>
                <w:szCs w:val="22"/>
                <w:highlight w:val="none"/>
              </w:rPr>
            </w:pPr>
            <w:r>
              <w:rPr>
                <w:rFonts w:ascii="Times New Roman" w:hAnsi="Times New Roman"/>
                <w:color w:val="auto"/>
                <w:sz w:val="22"/>
                <w:szCs w:val="22"/>
                <w:highlight w:val="none"/>
              </w:rPr>
              <w:t>质量控制目标</w:t>
            </w:r>
          </w:p>
        </w:tc>
        <w:tc>
          <w:tcPr>
            <w:tcW w:w="6079" w:type="dxa"/>
            <w:vAlign w:val="center"/>
          </w:tcPr>
          <w:p>
            <w:pPr>
              <w:tabs>
                <w:tab w:val="left" w:pos="900"/>
                <w:tab w:val="left" w:pos="1440"/>
              </w:tabs>
              <w:rPr>
                <w:rFonts w:ascii="Times New Roman" w:hAnsi="Times New Roman"/>
                <w:color w:val="auto"/>
                <w:sz w:val="22"/>
                <w:szCs w:val="22"/>
                <w:highlight w:val="none"/>
              </w:rPr>
            </w:pPr>
            <w:r>
              <w:rPr>
                <w:rFonts w:ascii="Times New Roman" w:hAnsi="Times New Roman"/>
                <w:color w:val="auto"/>
                <w:sz w:val="22"/>
                <w:szCs w:val="22"/>
                <w:highlight w:val="none"/>
              </w:rPr>
              <w:t>以本招标项目各单项或单位工程的施工合同中所确定的质量标准为质量控制目标。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trPr>
        <w:tc>
          <w:tcPr>
            <w:tcW w:w="720" w:type="dxa"/>
            <w:vAlign w:val="center"/>
          </w:tcPr>
          <w:p>
            <w:pPr>
              <w:tabs>
                <w:tab w:val="left" w:pos="900"/>
                <w:tab w:val="left" w:pos="1440"/>
              </w:tabs>
              <w:jc w:val="center"/>
              <w:rPr>
                <w:rFonts w:ascii="Times New Roman" w:hAnsi="Times New Roman"/>
                <w:color w:val="auto"/>
                <w:sz w:val="22"/>
                <w:szCs w:val="22"/>
                <w:highlight w:val="none"/>
              </w:rPr>
            </w:pPr>
            <w:r>
              <w:rPr>
                <w:rFonts w:ascii="Times New Roman" w:hAnsi="Times New Roman"/>
                <w:color w:val="auto"/>
                <w:sz w:val="22"/>
                <w:szCs w:val="22"/>
                <w:highlight w:val="none"/>
              </w:rPr>
              <w:t>7</w:t>
            </w:r>
          </w:p>
        </w:tc>
        <w:tc>
          <w:tcPr>
            <w:tcW w:w="2374" w:type="dxa"/>
            <w:vAlign w:val="center"/>
          </w:tcPr>
          <w:p>
            <w:pPr>
              <w:spacing w:line="500" w:lineRule="exact"/>
              <w:rPr>
                <w:rFonts w:ascii="Times New Roman" w:hAnsi="Times New Roman"/>
                <w:color w:val="auto"/>
                <w:sz w:val="22"/>
                <w:szCs w:val="22"/>
                <w:highlight w:val="none"/>
              </w:rPr>
            </w:pPr>
            <w:r>
              <w:rPr>
                <w:rFonts w:ascii="Times New Roman" w:hAnsi="Times New Roman"/>
                <w:color w:val="auto"/>
                <w:sz w:val="22"/>
                <w:szCs w:val="22"/>
                <w:highlight w:val="none"/>
              </w:rPr>
              <w:t>工期控制目标</w:t>
            </w:r>
          </w:p>
        </w:tc>
        <w:tc>
          <w:tcPr>
            <w:tcW w:w="6079" w:type="dxa"/>
            <w:vAlign w:val="center"/>
          </w:tcPr>
          <w:p>
            <w:pPr>
              <w:tabs>
                <w:tab w:val="left" w:pos="900"/>
                <w:tab w:val="left" w:pos="1440"/>
              </w:tabs>
              <w:rPr>
                <w:rFonts w:ascii="Times New Roman" w:hAnsi="Times New Roman"/>
                <w:color w:val="auto"/>
                <w:sz w:val="22"/>
                <w:szCs w:val="22"/>
                <w:highlight w:val="none"/>
              </w:rPr>
            </w:pPr>
            <w:r>
              <w:rPr>
                <w:rFonts w:ascii="Times New Roman" w:hAnsi="Times New Roman"/>
                <w:color w:val="auto"/>
                <w:sz w:val="22"/>
                <w:szCs w:val="22"/>
                <w:highlight w:val="none"/>
              </w:rPr>
              <w:t>以本招标项目各单项或单位工程的施工合同中所确定的施工工期为工期控制目标，直至本招标工程项目全部完工。</w:t>
            </w:r>
          </w:p>
        </w:tc>
      </w:tr>
    </w:tbl>
    <w:p>
      <w:pPr>
        <w:tabs>
          <w:tab w:val="left" w:pos="900"/>
          <w:tab w:val="left" w:pos="1440"/>
        </w:tabs>
        <w:ind w:firstLine="495" w:firstLineChars="225"/>
        <w:rPr>
          <w:rFonts w:ascii="Times New Roman" w:hAnsi="Times New Roman"/>
          <w:color w:val="auto"/>
          <w:sz w:val="22"/>
          <w:szCs w:val="22"/>
          <w:highlight w:val="none"/>
        </w:rPr>
      </w:pPr>
    </w:p>
    <w:p>
      <w:pPr>
        <w:tabs>
          <w:tab w:val="left" w:pos="900"/>
          <w:tab w:val="left" w:pos="1440"/>
        </w:tabs>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投标人：</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（盖章）</w:t>
      </w:r>
    </w:p>
    <w:p>
      <w:pPr>
        <w:tabs>
          <w:tab w:val="left" w:pos="900"/>
          <w:tab w:val="left" w:pos="1440"/>
        </w:tabs>
        <w:ind w:firstLine="495" w:firstLineChars="225"/>
        <w:rPr>
          <w:rFonts w:ascii="Times New Roman" w:hAnsi="Times New Roman"/>
          <w:color w:val="auto"/>
          <w:sz w:val="22"/>
          <w:szCs w:val="22"/>
          <w:highlight w:val="none"/>
        </w:rPr>
      </w:pPr>
    </w:p>
    <w:p>
      <w:pPr>
        <w:tabs>
          <w:tab w:val="left" w:pos="900"/>
          <w:tab w:val="left" w:pos="1440"/>
        </w:tabs>
        <w:ind w:firstLine="495" w:firstLineChars="225"/>
        <w:rPr>
          <w:rFonts w:ascii="Times New Roman" w:hAnsi="Times New Roman"/>
          <w:color w:val="auto"/>
          <w:sz w:val="22"/>
          <w:szCs w:val="22"/>
          <w:highlight w:val="none"/>
        </w:rPr>
      </w:pPr>
      <w:r>
        <w:rPr>
          <w:rFonts w:ascii="Times New Roman" w:hAnsi="Times New Roman"/>
          <w:color w:val="auto"/>
          <w:sz w:val="22"/>
          <w:szCs w:val="22"/>
          <w:highlight w:val="none"/>
        </w:rPr>
        <w:t>法定代表人或其委托代理人：</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（签字或盖章）</w:t>
      </w:r>
    </w:p>
    <w:p>
      <w:pPr>
        <w:tabs>
          <w:tab w:val="left" w:pos="900"/>
          <w:tab w:val="left" w:pos="1440"/>
        </w:tabs>
        <w:ind w:firstLine="495" w:firstLineChars="225"/>
        <w:jc w:val="left"/>
        <w:rPr>
          <w:rFonts w:ascii="Times New Roman" w:hAnsi="Times New Roman"/>
          <w:color w:val="auto"/>
          <w:sz w:val="22"/>
          <w:szCs w:val="22"/>
          <w:highlight w:val="none"/>
        </w:rPr>
      </w:pPr>
    </w:p>
    <w:p>
      <w:pPr>
        <w:tabs>
          <w:tab w:val="left" w:pos="900"/>
          <w:tab w:val="left" w:pos="1440"/>
        </w:tabs>
        <w:ind w:firstLine="495" w:firstLineChars="225"/>
        <w:jc w:val="left"/>
        <w:rPr>
          <w:rFonts w:ascii="Times New Roman" w:hAnsi="Times New Roman"/>
          <w:color w:val="auto"/>
          <w:sz w:val="22"/>
          <w:szCs w:val="22"/>
          <w:highlight w:val="none"/>
        </w:rPr>
      </w:pPr>
      <w:r>
        <w:rPr>
          <w:rFonts w:ascii="Times New Roman" w:hAnsi="Times New Roman"/>
          <w:color w:val="auto"/>
          <w:sz w:val="22"/>
          <w:szCs w:val="22"/>
          <w:highlight w:val="none"/>
        </w:rPr>
        <w:t>日  期：</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年</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月</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日</w:t>
      </w:r>
    </w:p>
    <w:p>
      <w:pPr>
        <w:tabs>
          <w:tab w:val="left" w:pos="900"/>
          <w:tab w:val="left" w:pos="1440"/>
        </w:tabs>
        <w:ind w:firstLine="360"/>
        <w:jc w:val="left"/>
        <w:rPr>
          <w:rFonts w:ascii="Times New Roman" w:hAnsi="Times New Roman"/>
          <w:b/>
          <w:bCs/>
          <w:color w:val="auto"/>
          <w:sz w:val="22"/>
          <w:szCs w:val="22"/>
          <w:highlight w:val="none"/>
        </w:rPr>
      </w:pPr>
    </w:p>
    <w:p>
      <w:pPr>
        <w:pStyle w:val="6"/>
        <w:spacing w:line="240" w:lineRule="atLeast"/>
        <w:jc w:val="both"/>
        <w:rPr>
          <w:rFonts w:ascii="Times New Roman" w:hAnsi="Times New Roman" w:eastAsia="宋体"/>
          <w:b w:val="0"/>
          <w:color w:val="auto"/>
          <w:sz w:val="22"/>
          <w:szCs w:val="28"/>
          <w:highlight w:val="none"/>
        </w:rPr>
      </w:pPr>
      <w:bookmarkStart w:id="128" w:name="_Toc405313182"/>
      <w:bookmarkStart w:id="129" w:name="_Toc509841409"/>
      <w:bookmarkStart w:id="130" w:name="_Toc14393"/>
      <w:bookmarkStart w:id="131" w:name="_Toc13074"/>
      <w:r>
        <w:rPr>
          <w:rFonts w:ascii="Times New Roman" w:hAnsi="Times New Roman" w:eastAsia="宋体"/>
          <w:b w:val="0"/>
          <w:color w:val="auto"/>
          <w:sz w:val="22"/>
          <w:szCs w:val="28"/>
          <w:highlight w:val="none"/>
        </w:rPr>
        <w:br w:type="page"/>
      </w:r>
      <w:r>
        <w:rPr>
          <w:rFonts w:ascii="Times New Roman" w:hAnsi="Times New Roman" w:eastAsia="宋体"/>
          <w:b w:val="0"/>
          <w:color w:val="auto"/>
          <w:sz w:val="22"/>
          <w:szCs w:val="28"/>
          <w:highlight w:val="none"/>
        </w:rPr>
        <w:t>格式三：</w:t>
      </w:r>
      <w:bookmarkEnd w:id="128"/>
      <w:bookmarkEnd w:id="129"/>
      <w:bookmarkEnd w:id="130"/>
      <w:bookmarkEnd w:id="131"/>
    </w:p>
    <w:p>
      <w:pPr>
        <w:pStyle w:val="6"/>
        <w:spacing w:line="240" w:lineRule="atLeast"/>
        <w:jc w:val="center"/>
        <w:rPr>
          <w:rFonts w:ascii="Times New Roman" w:hAnsi="Times New Roman" w:eastAsia="宋体"/>
          <w:color w:val="auto"/>
          <w:kern w:val="2"/>
          <w:szCs w:val="28"/>
          <w:highlight w:val="none"/>
        </w:rPr>
      </w:pPr>
      <w:r>
        <w:rPr>
          <w:rFonts w:ascii="Times New Roman" w:hAnsi="Times New Roman" w:eastAsia="宋体"/>
          <w:color w:val="auto"/>
          <w:kern w:val="2"/>
          <w:szCs w:val="28"/>
          <w:highlight w:val="none"/>
        </w:rPr>
        <w:t>投标担保承诺书</w:t>
      </w:r>
    </w:p>
    <w:p>
      <w:pPr>
        <w:spacing w:line="500" w:lineRule="exact"/>
        <w:rPr>
          <w:rFonts w:ascii="Times New Roman" w:hAnsi="Times New Roman"/>
          <w:color w:val="auto"/>
          <w:sz w:val="22"/>
          <w:szCs w:val="22"/>
          <w:highlight w:val="none"/>
        </w:rPr>
      </w:pPr>
    </w:p>
    <w:p>
      <w:pPr>
        <w:rPr>
          <w:rFonts w:ascii="Times New Roman" w:hAnsi="Times New Roman"/>
          <w:color w:val="auto"/>
          <w:sz w:val="24"/>
          <w:highlight w:val="none"/>
        </w:rPr>
      </w:pPr>
      <w:r>
        <w:rPr>
          <w:rFonts w:ascii="Times New Roman" w:hAnsi="Times New Roman"/>
          <w:color w:val="auto"/>
          <w:sz w:val="24"/>
          <w:highlight w:val="none"/>
          <w:u w:val="single"/>
        </w:rPr>
        <w:t xml:space="preserve">        （招标人名称）</w:t>
      </w:r>
      <w:r>
        <w:rPr>
          <w:rFonts w:ascii="Times New Roman" w:hAnsi="Times New Roman"/>
          <w:color w:val="auto"/>
          <w:sz w:val="24"/>
          <w:highlight w:val="none"/>
        </w:rPr>
        <w:t>：</w:t>
      </w:r>
    </w:p>
    <w:p>
      <w:pPr>
        <w:rPr>
          <w:rFonts w:ascii="Times New Roman" w:hAnsi="Times New Roman"/>
          <w:color w:val="auto"/>
          <w:sz w:val="24"/>
          <w:highlight w:val="none"/>
        </w:rPr>
      </w:pPr>
      <w:r>
        <w:rPr>
          <w:rFonts w:ascii="Times New Roman" w:hAnsi="Times New Roman"/>
          <w:color w:val="auto"/>
          <w:sz w:val="24"/>
          <w:highlight w:val="none"/>
        </w:rPr>
        <w:t xml:space="preserve"> </w:t>
      </w:r>
    </w:p>
    <w:p>
      <w:pPr>
        <w:spacing w:line="600" w:lineRule="exact"/>
        <w:ind w:firstLine="480"/>
        <w:rPr>
          <w:rFonts w:ascii="Times New Roman" w:hAnsi="Times New Roman"/>
          <w:color w:val="auto"/>
          <w:sz w:val="24"/>
          <w:highlight w:val="none"/>
        </w:rPr>
      </w:pPr>
      <w:r>
        <w:rPr>
          <w:rFonts w:ascii="Times New Roman" w:hAnsi="Times New Roman"/>
          <w:color w:val="auto"/>
          <w:sz w:val="24"/>
          <w:highlight w:val="none"/>
        </w:rPr>
        <w:t>我单位已详细阅读了</w:t>
      </w:r>
      <w:r>
        <w:rPr>
          <w:rFonts w:ascii="Times New Roman" w:hAnsi="Times New Roman"/>
          <w:color w:val="auto"/>
          <w:sz w:val="24"/>
          <w:highlight w:val="none"/>
          <w:u w:val="single"/>
        </w:rPr>
        <w:t xml:space="preserve">           (项目名称)</w:t>
      </w:r>
      <w:r>
        <w:rPr>
          <w:rFonts w:ascii="Times New Roman" w:hAnsi="Times New Roman"/>
          <w:color w:val="auto"/>
          <w:sz w:val="24"/>
          <w:highlight w:val="none"/>
        </w:rPr>
        <w:t>的招标文件，自愿参加该项目投标，现就有关事项向招标人郑重承诺如下：</w:t>
      </w:r>
    </w:p>
    <w:p>
      <w:pPr>
        <w:spacing w:line="60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1、遵守中华人民共和国、湖南省、株洲市有关招标投标的法律法规规定，自觉维护建筑市场秩序。如有违反，同意被取消投标资格并接受相应处罚。</w:t>
      </w:r>
    </w:p>
    <w:p>
      <w:pPr>
        <w:spacing w:line="60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2、遵守招投标活动有关会议现场纪律。如有违反，同意被取消投标资格并接受相应处罚。</w:t>
      </w:r>
    </w:p>
    <w:p>
      <w:pPr>
        <w:spacing w:line="60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3、接受招标文件、补充通知、澄清答疑等全部内容，如有违反，同意被取消投标资格并接受相应处罚。</w:t>
      </w:r>
    </w:p>
    <w:p>
      <w:pPr>
        <w:spacing w:line="60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4、保证在规定的投标有效期内不撤销、不修改投标文件。如有违反，同意被取消投标资格并接受相应处罚。</w:t>
      </w:r>
    </w:p>
    <w:p>
      <w:pPr>
        <w:spacing w:line="60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5、保证投标所提交的相关资料均无任何虚假。若评标过程中查出有虚假，同意作无效投标文件处理并接受相应处罚，若中标之后查出有虚假，同意被取消中标资格并接受相应处罚。</w:t>
      </w:r>
    </w:p>
    <w:p>
      <w:pPr>
        <w:spacing w:line="60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6、保证中标后，按照招标文件、补充通知、澄清答疑及中标通知书规定商签合同协议。如无正当理由拒绝签订合同，同意被取消中标资格并接受相应处罚。</w:t>
      </w:r>
    </w:p>
    <w:p>
      <w:pPr>
        <w:spacing w:line="60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7、如在招投标活动中发生法律法规规定的其他违规行为，愿意承担所引起的一切后果。</w:t>
      </w:r>
    </w:p>
    <w:p>
      <w:pPr>
        <w:spacing w:line="600" w:lineRule="exact"/>
        <w:jc w:val="center"/>
        <w:rPr>
          <w:rFonts w:ascii="Times New Roman" w:hAnsi="Times New Roman"/>
          <w:color w:val="auto"/>
          <w:sz w:val="24"/>
          <w:highlight w:val="none"/>
        </w:rPr>
      </w:pPr>
      <w:r>
        <w:rPr>
          <w:rFonts w:ascii="Times New Roman" w:hAnsi="Times New Roman"/>
          <w:color w:val="auto"/>
          <w:sz w:val="24"/>
          <w:highlight w:val="none"/>
        </w:rPr>
        <w:t xml:space="preserve">                               </w:t>
      </w:r>
    </w:p>
    <w:p>
      <w:pPr>
        <w:spacing w:line="600" w:lineRule="exact"/>
        <w:jc w:val="center"/>
        <w:rPr>
          <w:rFonts w:ascii="Times New Roman" w:hAnsi="Times New Roman"/>
          <w:color w:val="auto"/>
          <w:sz w:val="24"/>
          <w:highlight w:val="none"/>
        </w:rPr>
      </w:pPr>
      <w:r>
        <w:rPr>
          <w:rFonts w:ascii="Times New Roman" w:hAnsi="Times New Roman"/>
          <w:color w:val="auto"/>
          <w:sz w:val="24"/>
          <w:highlight w:val="none"/>
        </w:rPr>
        <w:t xml:space="preserve">                                投标人：（盖单位公章）</w:t>
      </w:r>
    </w:p>
    <w:p>
      <w:pPr>
        <w:ind w:right="-153" w:rightChars="-73"/>
        <w:jc w:val="left"/>
        <w:rPr>
          <w:rFonts w:ascii="Times New Roman" w:hAnsi="Times New Roman"/>
          <w:color w:val="auto"/>
          <w:sz w:val="24"/>
          <w:highlight w:val="none"/>
        </w:rPr>
      </w:pPr>
      <w:r>
        <w:rPr>
          <w:rFonts w:ascii="Times New Roman" w:hAnsi="Times New Roman"/>
          <w:color w:val="auto"/>
          <w:sz w:val="24"/>
          <w:highlight w:val="none"/>
        </w:rPr>
        <w:t xml:space="preserve">                                           法定代表人：（签字或盖章）</w:t>
      </w:r>
    </w:p>
    <w:p>
      <w:pPr>
        <w:ind w:right="-153" w:rightChars="-73"/>
        <w:jc w:val="left"/>
        <w:rPr>
          <w:rFonts w:ascii="Times New Roman" w:hAnsi="Times New Roman"/>
          <w:color w:val="auto"/>
          <w:highlight w:val="none"/>
        </w:rPr>
      </w:pPr>
      <w:r>
        <w:rPr>
          <w:rFonts w:ascii="Times New Roman" w:hAnsi="Times New Roman" w:eastAsia="黑体"/>
          <w:b/>
          <w:color w:val="auto"/>
          <w:szCs w:val="21"/>
          <w:highlight w:val="none"/>
        </w:rPr>
        <w:t>【</w:t>
      </w:r>
      <w:r>
        <w:rPr>
          <w:rFonts w:ascii="Times New Roman" w:hAnsi="Times New Roman" w:eastAsia="黑体"/>
          <w:b/>
          <w:bCs/>
          <w:color w:val="auto"/>
          <w:szCs w:val="21"/>
          <w:highlight w:val="none"/>
        </w:rPr>
        <w:t>注：开标时须单独提交一份原件给招标代理工作人员供查验。</w:t>
      </w:r>
      <w:r>
        <w:rPr>
          <w:rFonts w:ascii="Times New Roman" w:hAnsi="Times New Roman" w:eastAsia="黑体"/>
          <w:b/>
          <w:color w:val="auto"/>
          <w:szCs w:val="21"/>
          <w:highlight w:val="none"/>
        </w:rPr>
        <w:t>】</w:t>
      </w:r>
    </w:p>
    <w:p>
      <w:pPr>
        <w:pStyle w:val="6"/>
        <w:spacing w:line="240" w:lineRule="atLeast"/>
        <w:jc w:val="both"/>
        <w:rPr>
          <w:rFonts w:ascii="Times New Roman" w:hAnsi="Times New Roman" w:eastAsia="宋体"/>
          <w:color w:val="auto"/>
          <w:sz w:val="22"/>
          <w:szCs w:val="28"/>
          <w:highlight w:val="none"/>
        </w:rPr>
      </w:pPr>
      <w:r>
        <w:rPr>
          <w:rFonts w:ascii="Times New Roman" w:hAnsi="Times New Roman" w:eastAsia="宋体"/>
          <w:b w:val="0"/>
          <w:bCs w:val="0"/>
          <w:color w:val="auto"/>
          <w:kern w:val="2"/>
          <w:sz w:val="22"/>
          <w:szCs w:val="22"/>
          <w:highlight w:val="none"/>
          <w:u w:val="single"/>
        </w:rPr>
        <w:br w:type="page"/>
      </w:r>
      <w:bookmarkStart w:id="132" w:name="_Toc7907"/>
      <w:bookmarkStart w:id="133" w:name="_Toc19844"/>
      <w:bookmarkStart w:id="134" w:name="_Toc405313183"/>
      <w:bookmarkStart w:id="135" w:name="_Toc509841410"/>
      <w:r>
        <w:rPr>
          <w:rFonts w:ascii="Times New Roman" w:hAnsi="Times New Roman" w:eastAsia="宋体"/>
          <w:b w:val="0"/>
          <w:color w:val="auto"/>
          <w:sz w:val="22"/>
          <w:szCs w:val="28"/>
          <w:highlight w:val="none"/>
        </w:rPr>
        <w:t>格式四</w:t>
      </w:r>
      <w:r>
        <w:rPr>
          <w:rFonts w:ascii="Times New Roman" w:hAnsi="Times New Roman" w:eastAsia="宋体"/>
          <w:color w:val="auto"/>
          <w:sz w:val="22"/>
          <w:szCs w:val="28"/>
          <w:highlight w:val="none"/>
        </w:rPr>
        <w:t>：</w:t>
      </w:r>
      <w:bookmarkEnd w:id="132"/>
      <w:bookmarkEnd w:id="133"/>
      <w:bookmarkEnd w:id="134"/>
      <w:bookmarkEnd w:id="135"/>
      <w:r>
        <w:rPr>
          <w:rFonts w:ascii="Times New Roman" w:hAnsi="Times New Roman" w:eastAsia="宋体"/>
          <w:color w:val="auto"/>
          <w:sz w:val="22"/>
          <w:szCs w:val="28"/>
          <w:highlight w:val="none"/>
        </w:rPr>
        <w:t xml:space="preserve">                     </w:t>
      </w:r>
    </w:p>
    <w:p>
      <w:pPr>
        <w:tabs>
          <w:tab w:val="left" w:pos="0"/>
          <w:tab w:val="left" w:pos="1440"/>
        </w:tabs>
        <w:spacing w:line="380" w:lineRule="exact"/>
        <w:ind w:right="25" w:rightChars="12"/>
        <w:jc w:val="center"/>
        <w:rPr>
          <w:rFonts w:ascii="Times New Roman" w:hAnsi="Times New Roman"/>
          <w:b/>
          <w:bCs/>
          <w:color w:val="auto"/>
          <w:sz w:val="28"/>
          <w:szCs w:val="22"/>
          <w:highlight w:val="none"/>
        </w:rPr>
      </w:pPr>
      <w:r>
        <w:rPr>
          <w:rFonts w:ascii="Times New Roman" w:hAnsi="Times New Roman"/>
          <w:b/>
          <w:bCs/>
          <w:color w:val="auto"/>
          <w:sz w:val="28"/>
          <w:szCs w:val="22"/>
          <w:highlight w:val="none"/>
        </w:rPr>
        <w:t>法定代表人身份证明书</w:t>
      </w:r>
    </w:p>
    <w:p>
      <w:pPr>
        <w:tabs>
          <w:tab w:val="left" w:pos="0"/>
          <w:tab w:val="left" w:pos="1440"/>
        </w:tabs>
        <w:spacing w:line="380" w:lineRule="exact"/>
        <w:ind w:right="25" w:rightChars="12"/>
        <w:jc w:val="center"/>
        <w:rPr>
          <w:rFonts w:ascii="Times New Roman" w:hAnsi="Times New Roman"/>
          <w:b/>
          <w:bCs/>
          <w:color w:val="auto"/>
          <w:sz w:val="24"/>
          <w:szCs w:val="22"/>
          <w:highlight w:val="none"/>
        </w:rPr>
      </w:pPr>
    </w:p>
    <w:p>
      <w:pPr>
        <w:spacing w:line="44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单位名称：</w:t>
      </w:r>
      <w:r>
        <w:rPr>
          <w:rFonts w:ascii="Times New Roman" w:hAnsi="Times New Roman"/>
          <w:color w:val="auto"/>
          <w:sz w:val="22"/>
          <w:szCs w:val="22"/>
          <w:highlight w:val="none"/>
          <w:u w:val="single"/>
        </w:rPr>
        <w:t xml:space="preserve">                                    </w:t>
      </w:r>
    </w:p>
    <w:p>
      <w:pPr>
        <w:spacing w:line="440" w:lineRule="exact"/>
        <w:ind w:firstLine="440" w:firstLineChars="200"/>
        <w:rPr>
          <w:rFonts w:ascii="Times New Roman" w:hAnsi="Times New Roman"/>
          <w:color w:val="auto"/>
          <w:sz w:val="22"/>
          <w:szCs w:val="22"/>
          <w:highlight w:val="none"/>
          <w:u w:val="single"/>
        </w:rPr>
      </w:pPr>
      <w:r>
        <w:rPr>
          <w:rFonts w:ascii="Times New Roman" w:hAnsi="Times New Roman"/>
          <w:color w:val="auto"/>
          <w:sz w:val="22"/>
          <w:szCs w:val="22"/>
          <w:highlight w:val="none"/>
        </w:rPr>
        <w:t>单位性质：</w:t>
      </w:r>
      <w:r>
        <w:rPr>
          <w:rFonts w:ascii="Times New Roman" w:hAnsi="Times New Roman"/>
          <w:color w:val="auto"/>
          <w:sz w:val="22"/>
          <w:szCs w:val="22"/>
          <w:highlight w:val="none"/>
          <w:u w:val="single"/>
        </w:rPr>
        <w:t xml:space="preserve">                                    </w:t>
      </w:r>
    </w:p>
    <w:p>
      <w:pPr>
        <w:spacing w:line="44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地    址：</w:t>
      </w:r>
      <w:r>
        <w:rPr>
          <w:rFonts w:ascii="Times New Roman" w:hAnsi="Times New Roman"/>
          <w:color w:val="auto"/>
          <w:sz w:val="22"/>
          <w:szCs w:val="22"/>
          <w:highlight w:val="none"/>
          <w:u w:val="single"/>
        </w:rPr>
        <w:t xml:space="preserve">                                    </w:t>
      </w:r>
    </w:p>
    <w:p>
      <w:pPr>
        <w:spacing w:line="44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成立时间：</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年</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月</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日</w:t>
      </w:r>
    </w:p>
    <w:p>
      <w:pPr>
        <w:spacing w:line="44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姓    名：</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性别：</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年龄：</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职务：</w:t>
      </w:r>
      <w:r>
        <w:rPr>
          <w:rFonts w:ascii="Times New Roman" w:hAnsi="Times New Roman"/>
          <w:color w:val="auto"/>
          <w:sz w:val="22"/>
          <w:szCs w:val="22"/>
          <w:highlight w:val="none"/>
          <w:u w:val="single"/>
        </w:rPr>
        <w:t xml:space="preserve">       </w:t>
      </w:r>
    </w:p>
    <w:p>
      <w:pPr>
        <w:spacing w:line="44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系</w:t>
      </w:r>
      <w:r>
        <w:rPr>
          <w:rFonts w:ascii="Times New Roman" w:hAnsi="Times New Roman"/>
          <w:color w:val="auto"/>
          <w:sz w:val="22"/>
          <w:szCs w:val="22"/>
          <w:highlight w:val="none"/>
          <w:u w:val="single"/>
        </w:rPr>
        <w:t xml:space="preserve">       （投标单位名称）           </w:t>
      </w:r>
      <w:r>
        <w:rPr>
          <w:rFonts w:ascii="Times New Roman" w:hAnsi="Times New Roman"/>
          <w:color w:val="auto"/>
          <w:sz w:val="22"/>
          <w:szCs w:val="22"/>
          <w:highlight w:val="none"/>
        </w:rPr>
        <w:t>的法定代表人。</w:t>
      </w:r>
    </w:p>
    <w:p>
      <w:pPr>
        <w:spacing w:line="44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特此证明。</w:t>
      </w:r>
    </w:p>
    <w:p>
      <w:pPr>
        <w:tabs>
          <w:tab w:val="left" w:pos="720"/>
          <w:tab w:val="left" w:pos="900"/>
        </w:tabs>
        <w:spacing w:line="360" w:lineRule="auto"/>
        <w:ind w:firstLine="4620" w:firstLineChars="2100"/>
        <w:rPr>
          <w:rFonts w:ascii="Times New Roman" w:hAnsi="Times New Roman"/>
          <w:color w:val="auto"/>
          <w:sz w:val="22"/>
          <w:szCs w:val="22"/>
          <w:highlight w:val="none"/>
        </w:rPr>
      </w:pPr>
      <w:r>
        <w:rPr>
          <w:rFonts w:ascii="Times New Roman" w:hAnsi="Times New Roman"/>
          <w:color w:val="auto"/>
          <w:sz w:val="22"/>
          <w:szCs w:val="22"/>
          <w:highlight w:val="none"/>
        </w:rPr>
        <w:t>投标人：</w:t>
      </w:r>
      <w:r>
        <w:rPr>
          <w:rFonts w:ascii="Times New Roman" w:hAnsi="Times New Roman"/>
          <w:color w:val="auto"/>
          <w:sz w:val="22"/>
          <w:szCs w:val="22"/>
          <w:highlight w:val="none"/>
          <w:u w:val="single"/>
        </w:rPr>
        <w:t xml:space="preserve">              （盖章）</w:t>
      </w:r>
    </w:p>
    <w:p>
      <w:pPr>
        <w:tabs>
          <w:tab w:val="left" w:pos="720"/>
          <w:tab w:val="left" w:pos="900"/>
        </w:tabs>
        <w:spacing w:line="360" w:lineRule="auto"/>
        <w:ind w:firstLine="4620" w:firstLineChars="2100"/>
        <w:rPr>
          <w:rFonts w:ascii="Times New Roman" w:hAnsi="Times New Roman"/>
          <w:color w:val="auto"/>
          <w:sz w:val="22"/>
          <w:szCs w:val="22"/>
          <w:highlight w:val="none"/>
        </w:rPr>
      </w:pPr>
      <w:r>
        <w:rPr>
          <w:rFonts w:ascii="Times New Roman" w:hAnsi="Times New Roman"/>
          <w:color w:val="auto"/>
          <w:sz w:val="22"/>
          <w:szCs w:val="22"/>
          <w:highlight w:val="none"/>
        </w:rPr>
        <w:t>日  期：</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年</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月</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日</w:t>
      </w:r>
    </w:p>
    <w:p>
      <w:pPr>
        <w:ind w:right="-153" w:rightChars="-73"/>
        <w:jc w:val="left"/>
        <w:rPr>
          <w:rFonts w:ascii="Times New Roman" w:hAnsi="Times New Roman" w:eastAsia="楷体_GB2312"/>
          <w:b/>
          <w:color w:val="auto"/>
          <w:sz w:val="22"/>
          <w:szCs w:val="22"/>
          <w:highlight w:val="none"/>
        </w:rPr>
      </w:pPr>
      <w:bookmarkStart w:id="136" w:name="_Toc405313184"/>
      <w:bookmarkStart w:id="137" w:name="_Toc31714"/>
      <w:bookmarkStart w:id="138" w:name="_Toc11781"/>
      <w:r>
        <w:rPr>
          <w:rFonts w:ascii="Times New Roman" w:hAnsi="Times New Roman" w:eastAsia="楷体_GB2312"/>
          <w:b/>
          <w:color w:val="auto"/>
          <w:sz w:val="22"/>
          <w:szCs w:val="22"/>
          <w:highlight w:val="none"/>
        </w:rPr>
        <w:t>（后附法定代表人二代身份证复印件或扫描件）</w:t>
      </w:r>
    </w:p>
    <w:p>
      <w:pPr>
        <w:ind w:right="-153" w:rightChars="-73"/>
        <w:jc w:val="left"/>
        <w:rPr>
          <w:rFonts w:ascii="Times New Roman" w:hAnsi="Times New Roman"/>
          <w:color w:val="auto"/>
          <w:highlight w:val="none"/>
        </w:rPr>
      </w:pPr>
      <w:r>
        <w:rPr>
          <w:rFonts w:ascii="Times New Roman" w:hAnsi="Times New Roman" w:eastAsia="黑体"/>
          <w:b/>
          <w:color w:val="auto"/>
          <w:szCs w:val="21"/>
          <w:highlight w:val="none"/>
        </w:rPr>
        <w:t>【</w:t>
      </w:r>
      <w:r>
        <w:rPr>
          <w:rFonts w:ascii="Times New Roman" w:hAnsi="Times New Roman" w:eastAsia="黑体"/>
          <w:b/>
          <w:bCs/>
          <w:color w:val="auto"/>
          <w:szCs w:val="21"/>
          <w:highlight w:val="none"/>
        </w:rPr>
        <w:t>注：开标时如法定代表人到场须单独提交一份原件给招标代理工作人员供查验。</w:t>
      </w:r>
      <w:r>
        <w:rPr>
          <w:rFonts w:ascii="Times New Roman" w:hAnsi="Times New Roman" w:eastAsia="黑体"/>
          <w:b/>
          <w:color w:val="auto"/>
          <w:szCs w:val="21"/>
          <w:highlight w:val="none"/>
        </w:rPr>
        <w:t>】</w:t>
      </w:r>
    </w:p>
    <w:p>
      <w:pPr>
        <w:tabs>
          <w:tab w:val="left" w:pos="720"/>
          <w:tab w:val="left" w:pos="900"/>
        </w:tabs>
        <w:spacing w:line="360" w:lineRule="auto"/>
        <w:rPr>
          <w:rFonts w:ascii="Times New Roman" w:hAnsi="Times New Roman" w:eastAsia="楷体_GB2312"/>
          <w:b/>
          <w:color w:val="auto"/>
          <w:sz w:val="22"/>
          <w:szCs w:val="22"/>
          <w:highlight w:val="none"/>
          <w:u w:val="single"/>
        </w:rPr>
      </w:pPr>
    </w:p>
    <w:p>
      <w:pPr>
        <w:pStyle w:val="6"/>
        <w:spacing w:line="240" w:lineRule="atLeast"/>
        <w:jc w:val="both"/>
        <w:rPr>
          <w:rFonts w:ascii="Times New Roman" w:hAnsi="Times New Roman" w:eastAsia="宋体"/>
          <w:b w:val="0"/>
          <w:color w:val="auto"/>
          <w:sz w:val="22"/>
          <w:szCs w:val="28"/>
          <w:highlight w:val="none"/>
        </w:rPr>
      </w:pPr>
      <w:bookmarkStart w:id="139" w:name="_Toc509841411"/>
      <w:r>
        <w:rPr>
          <w:rFonts w:ascii="Times New Roman" w:hAnsi="Times New Roman" w:eastAsia="宋体"/>
          <w:b w:val="0"/>
          <w:color w:val="auto"/>
          <w:sz w:val="22"/>
          <w:szCs w:val="28"/>
          <w:highlight w:val="none"/>
        </w:rPr>
        <w:t>格式五：</w:t>
      </w:r>
      <w:bookmarkEnd w:id="136"/>
      <w:bookmarkEnd w:id="137"/>
      <w:bookmarkEnd w:id="138"/>
      <w:bookmarkEnd w:id="139"/>
    </w:p>
    <w:p>
      <w:pPr>
        <w:tabs>
          <w:tab w:val="left" w:pos="0"/>
          <w:tab w:val="left" w:pos="1440"/>
        </w:tabs>
        <w:spacing w:line="380" w:lineRule="exact"/>
        <w:ind w:right="25" w:rightChars="12"/>
        <w:jc w:val="center"/>
        <w:rPr>
          <w:rFonts w:ascii="Times New Roman" w:hAnsi="Times New Roman"/>
          <w:b/>
          <w:bCs/>
          <w:color w:val="auto"/>
          <w:sz w:val="28"/>
          <w:szCs w:val="22"/>
          <w:highlight w:val="none"/>
        </w:rPr>
      </w:pPr>
      <w:r>
        <w:rPr>
          <w:rFonts w:ascii="Times New Roman" w:hAnsi="Times New Roman"/>
          <w:b/>
          <w:bCs/>
          <w:color w:val="auto"/>
          <w:sz w:val="28"/>
          <w:szCs w:val="22"/>
          <w:highlight w:val="none"/>
        </w:rPr>
        <w:t>授权委托书</w:t>
      </w:r>
    </w:p>
    <w:p>
      <w:pPr>
        <w:tabs>
          <w:tab w:val="left" w:pos="0"/>
          <w:tab w:val="left" w:pos="1440"/>
        </w:tabs>
        <w:spacing w:line="380" w:lineRule="exact"/>
        <w:ind w:right="25" w:rightChars="12"/>
        <w:jc w:val="center"/>
        <w:rPr>
          <w:rFonts w:ascii="Times New Roman" w:hAnsi="Times New Roman"/>
          <w:b/>
          <w:bCs/>
          <w:color w:val="auto"/>
          <w:sz w:val="28"/>
          <w:szCs w:val="22"/>
          <w:highlight w:val="none"/>
        </w:rPr>
      </w:pPr>
    </w:p>
    <w:p>
      <w:pPr>
        <w:tabs>
          <w:tab w:val="left" w:pos="900"/>
          <w:tab w:val="left" w:pos="1440"/>
        </w:tabs>
        <w:spacing w:line="46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本授权委托书声明：我</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（姓名）系</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（投标人名称）的法定代表人，现授权委托</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（单位名称）的</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（姓名）为我公司代理人，以本公司的名义参加</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投标活动。代理人签署的投标文件和在开标、评标、询标、合同谈判过程中所签署的一切文件以及处理与之有关的一切事务，我均予以承认。</w:t>
      </w:r>
    </w:p>
    <w:p>
      <w:pPr>
        <w:tabs>
          <w:tab w:val="left" w:pos="900"/>
          <w:tab w:val="left" w:pos="1440"/>
        </w:tabs>
        <w:spacing w:line="46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本授权委托书有效期限至</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年</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月</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 xml:space="preserve"> 日止。</w:t>
      </w:r>
    </w:p>
    <w:p>
      <w:pPr>
        <w:tabs>
          <w:tab w:val="left" w:pos="900"/>
          <w:tab w:val="left" w:pos="1440"/>
        </w:tabs>
        <w:spacing w:line="460" w:lineRule="exact"/>
        <w:ind w:firstLine="540"/>
        <w:rPr>
          <w:rFonts w:ascii="Times New Roman" w:hAnsi="Times New Roman"/>
          <w:color w:val="auto"/>
          <w:sz w:val="22"/>
          <w:szCs w:val="22"/>
          <w:highlight w:val="none"/>
        </w:rPr>
      </w:pPr>
      <w:r>
        <w:rPr>
          <w:rFonts w:ascii="Times New Roman" w:hAnsi="Times New Roman"/>
          <w:color w:val="auto"/>
          <w:sz w:val="22"/>
          <w:szCs w:val="22"/>
          <w:highlight w:val="none"/>
        </w:rPr>
        <w:t xml:space="preserve">代理人无转委权。特此委托。 </w:t>
      </w:r>
    </w:p>
    <w:p>
      <w:pPr>
        <w:tabs>
          <w:tab w:val="left" w:pos="900"/>
          <w:tab w:val="left" w:pos="1440"/>
        </w:tabs>
        <w:spacing w:line="420" w:lineRule="exact"/>
        <w:rPr>
          <w:rFonts w:ascii="Times New Roman" w:hAnsi="Times New Roman"/>
          <w:color w:val="auto"/>
          <w:sz w:val="22"/>
          <w:szCs w:val="22"/>
          <w:highlight w:val="none"/>
          <w:u w:val="single"/>
        </w:rPr>
      </w:pPr>
      <w:r>
        <w:rPr>
          <w:rFonts w:ascii="Times New Roman" w:hAnsi="Times New Roman"/>
          <w:color w:val="auto"/>
          <w:sz w:val="22"/>
          <w:szCs w:val="22"/>
          <w:highlight w:val="none"/>
        </w:rPr>
        <w:t>代理人：</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 xml:space="preserve">      性别：</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 xml:space="preserve">         年龄：</w:t>
      </w:r>
      <w:r>
        <w:rPr>
          <w:rFonts w:ascii="Times New Roman" w:hAnsi="Times New Roman"/>
          <w:color w:val="auto"/>
          <w:sz w:val="22"/>
          <w:szCs w:val="22"/>
          <w:highlight w:val="none"/>
          <w:u w:val="single"/>
        </w:rPr>
        <w:t xml:space="preserve">       </w:t>
      </w:r>
    </w:p>
    <w:p>
      <w:pPr>
        <w:tabs>
          <w:tab w:val="left" w:pos="900"/>
          <w:tab w:val="left" w:pos="1440"/>
        </w:tabs>
        <w:spacing w:line="420" w:lineRule="exact"/>
        <w:rPr>
          <w:rFonts w:ascii="Times New Roman" w:hAnsi="Times New Roman"/>
          <w:color w:val="auto"/>
          <w:sz w:val="22"/>
          <w:szCs w:val="22"/>
          <w:highlight w:val="none"/>
          <w:u w:val="single"/>
        </w:rPr>
      </w:pPr>
      <w:r>
        <w:rPr>
          <w:rFonts w:ascii="Times New Roman" w:hAnsi="Times New Roman"/>
          <w:color w:val="auto"/>
          <w:sz w:val="22"/>
          <w:szCs w:val="22"/>
          <w:highlight w:val="none"/>
        </w:rPr>
        <w:t>身份证号：</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 xml:space="preserve">         职务：</w:t>
      </w:r>
      <w:r>
        <w:rPr>
          <w:rFonts w:ascii="Times New Roman" w:hAnsi="Times New Roman"/>
          <w:color w:val="auto"/>
          <w:sz w:val="22"/>
          <w:szCs w:val="22"/>
          <w:highlight w:val="none"/>
          <w:u w:val="single"/>
        </w:rPr>
        <w:t xml:space="preserve">       </w:t>
      </w:r>
    </w:p>
    <w:p>
      <w:pPr>
        <w:tabs>
          <w:tab w:val="left" w:pos="900"/>
          <w:tab w:val="left" w:pos="1440"/>
        </w:tabs>
        <w:spacing w:line="400" w:lineRule="exact"/>
        <w:ind w:left="495" w:hanging="495" w:hangingChars="225"/>
        <w:jc w:val="center"/>
        <w:rPr>
          <w:rFonts w:ascii="Times New Roman" w:hAnsi="Times New Roman"/>
          <w:color w:val="auto"/>
          <w:sz w:val="22"/>
          <w:szCs w:val="22"/>
          <w:highlight w:val="none"/>
        </w:rPr>
      </w:pPr>
    </w:p>
    <w:p>
      <w:pPr>
        <w:tabs>
          <w:tab w:val="left" w:pos="900"/>
          <w:tab w:val="left" w:pos="1440"/>
        </w:tabs>
        <w:spacing w:line="400" w:lineRule="exact"/>
        <w:ind w:left="495" w:hanging="495" w:hangingChars="225"/>
        <w:jc w:val="center"/>
        <w:rPr>
          <w:rFonts w:ascii="Times New Roman" w:hAnsi="Times New Roman"/>
          <w:color w:val="auto"/>
          <w:sz w:val="22"/>
          <w:szCs w:val="22"/>
          <w:highlight w:val="none"/>
        </w:rPr>
      </w:pPr>
      <w:r>
        <w:rPr>
          <w:rFonts w:ascii="Times New Roman" w:hAnsi="Times New Roman"/>
          <w:color w:val="auto"/>
          <w:sz w:val="22"/>
          <w:szCs w:val="22"/>
          <w:highlight w:val="none"/>
        </w:rPr>
        <w:t>投标人：（盖章）</w:t>
      </w:r>
    </w:p>
    <w:p>
      <w:pPr>
        <w:tabs>
          <w:tab w:val="left" w:pos="900"/>
          <w:tab w:val="left" w:pos="1440"/>
        </w:tabs>
        <w:spacing w:line="400" w:lineRule="exact"/>
        <w:ind w:left="495" w:hanging="495" w:hangingChars="225"/>
        <w:jc w:val="center"/>
        <w:rPr>
          <w:rFonts w:ascii="Times New Roman" w:hAnsi="Times New Roman"/>
          <w:color w:val="auto"/>
          <w:sz w:val="22"/>
          <w:szCs w:val="22"/>
          <w:highlight w:val="none"/>
        </w:rPr>
      </w:pPr>
      <w:r>
        <w:rPr>
          <w:rFonts w:ascii="Times New Roman" w:hAnsi="Times New Roman"/>
          <w:color w:val="auto"/>
          <w:sz w:val="22"/>
          <w:szCs w:val="22"/>
          <w:highlight w:val="none"/>
        </w:rPr>
        <w:t xml:space="preserve">          法定代表人：（盖章或签字）</w:t>
      </w:r>
    </w:p>
    <w:p>
      <w:pPr>
        <w:tabs>
          <w:tab w:val="left" w:pos="900"/>
          <w:tab w:val="left" w:pos="1440"/>
        </w:tabs>
        <w:spacing w:line="400" w:lineRule="exact"/>
        <w:jc w:val="center"/>
        <w:rPr>
          <w:rFonts w:ascii="Times New Roman" w:hAnsi="Times New Roman"/>
          <w:color w:val="auto"/>
          <w:sz w:val="22"/>
          <w:szCs w:val="22"/>
          <w:highlight w:val="none"/>
        </w:rPr>
      </w:pPr>
      <w:r>
        <w:rPr>
          <w:rFonts w:ascii="Times New Roman" w:hAnsi="Times New Roman"/>
          <w:color w:val="auto"/>
          <w:sz w:val="22"/>
          <w:szCs w:val="22"/>
          <w:highlight w:val="none"/>
        </w:rPr>
        <w:t xml:space="preserve">           日期：</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年</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月</w:t>
      </w:r>
      <w:r>
        <w:rPr>
          <w:rFonts w:ascii="Times New Roman" w:hAnsi="Times New Roman"/>
          <w:color w:val="auto"/>
          <w:sz w:val="22"/>
          <w:szCs w:val="22"/>
          <w:highlight w:val="none"/>
          <w:u w:val="single"/>
        </w:rPr>
        <w:t xml:space="preserve">   </w:t>
      </w:r>
      <w:r>
        <w:rPr>
          <w:rFonts w:ascii="Times New Roman" w:hAnsi="Times New Roman"/>
          <w:color w:val="auto"/>
          <w:sz w:val="22"/>
          <w:szCs w:val="22"/>
          <w:highlight w:val="none"/>
        </w:rPr>
        <w:t>日</w:t>
      </w:r>
    </w:p>
    <w:p>
      <w:pPr>
        <w:tabs>
          <w:tab w:val="left" w:pos="720"/>
          <w:tab w:val="left" w:pos="900"/>
        </w:tabs>
        <w:spacing w:line="360" w:lineRule="auto"/>
        <w:rPr>
          <w:rFonts w:ascii="Times New Roman" w:hAnsi="Times New Roman"/>
          <w:color w:val="auto"/>
          <w:sz w:val="22"/>
          <w:szCs w:val="22"/>
          <w:highlight w:val="none"/>
        </w:rPr>
      </w:pPr>
      <w:r>
        <w:rPr>
          <w:rFonts w:ascii="Times New Roman" w:hAnsi="Times New Roman" w:eastAsia="楷体_GB2312"/>
          <w:b/>
          <w:color w:val="auto"/>
          <w:sz w:val="22"/>
          <w:szCs w:val="22"/>
          <w:highlight w:val="none"/>
        </w:rPr>
        <w:t>（后附法定代表人及其委托代理人的二代身份证复印件或扫描件）</w:t>
      </w:r>
    </w:p>
    <w:p>
      <w:pPr>
        <w:spacing w:line="360" w:lineRule="auto"/>
        <w:ind w:right="-153" w:rightChars="-73"/>
        <w:jc w:val="left"/>
        <w:rPr>
          <w:rFonts w:ascii="Times New Roman" w:hAnsi="Times New Roman" w:eastAsia="黑体"/>
          <w:b/>
          <w:color w:val="auto"/>
          <w:szCs w:val="21"/>
          <w:highlight w:val="none"/>
        </w:rPr>
      </w:pPr>
      <w:r>
        <w:rPr>
          <w:rFonts w:ascii="Times New Roman" w:hAnsi="Times New Roman" w:eastAsia="黑体"/>
          <w:b/>
          <w:color w:val="auto"/>
          <w:szCs w:val="21"/>
          <w:highlight w:val="none"/>
        </w:rPr>
        <w:t>【</w:t>
      </w:r>
      <w:r>
        <w:rPr>
          <w:rFonts w:ascii="Times New Roman" w:hAnsi="Times New Roman" w:eastAsia="黑体"/>
          <w:b/>
          <w:bCs/>
          <w:color w:val="auto"/>
          <w:szCs w:val="21"/>
          <w:highlight w:val="none"/>
        </w:rPr>
        <w:t>注：开标时如委托代理人到场须单独提交一份原件给招标代理工作人员供查验。</w:t>
      </w:r>
      <w:r>
        <w:rPr>
          <w:rFonts w:ascii="Times New Roman" w:hAnsi="Times New Roman" w:eastAsia="黑体"/>
          <w:b/>
          <w:color w:val="auto"/>
          <w:szCs w:val="21"/>
          <w:highlight w:val="none"/>
        </w:rPr>
        <w:t>】</w:t>
      </w:r>
    </w:p>
    <w:p>
      <w:pPr>
        <w:pStyle w:val="6"/>
        <w:rPr>
          <w:rFonts w:ascii="Times New Roman" w:hAnsi="Times New Roman" w:eastAsia="宋体"/>
          <w:b w:val="0"/>
          <w:bCs w:val="0"/>
          <w:color w:val="auto"/>
          <w:sz w:val="22"/>
          <w:szCs w:val="28"/>
          <w:highlight w:val="none"/>
        </w:rPr>
      </w:pPr>
      <w:r>
        <w:rPr>
          <w:rFonts w:ascii="Times New Roman" w:hAnsi="Times New Roman" w:eastAsia="宋体"/>
          <w:b w:val="0"/>
          <w:bCs w:val="0"/>
          <w:color w:val="auto"/>
          <w:sz w:val="22"/>
          <w:szCs w:val="28"/>
          <w:highlight w:val="none"/>
        </w:rPr>
        <w:br w:type="page"/>
      </w:r>
      <w:bookmarkStart w:id="140" w:name="_Toc405313185"/>
      <w:bookmarkStart w:id="141" w:name="_Toc25426"/>
      <w:bookmarkStart w:id="142" w:name="_Toc12410"/>
      <w:bookmarkStart w:id="143" w:name="_Toc509841412"/>
      <w:r>
        <w:rPr>
          <w:rFonts w:ascii="Times New Roman" w:hAnsi="Times New Roman" w:eastAsia="宋体"/>
          <w:b w:val="0"/>
          <w:bCs w:val="0"/>
          <w:color w:val="auto"/>
          <w:sz w:val="22"/>
          <w:szCs w:val="28"/>
          <w:highlight w:val="none"/>
        </w:rPr>
        <w:t>格式六：</w:t>
      </w:r>
      <w:bookmarkEnd w:id="140"/>
      <w:bookmarkEnd w:id="141"/>
      <w:bookmarkEnd w:id="142"/>
      <w:bookmarkEnd w:id="143"/>
    </w:p>
    <w:p>
      <w:pPr>
        <w:tabs>
          <w:tab w:val="left" w:pos="0"/>
          <w:tab w:val="left" w:pos="1440"/>
        </w:tabs>
        <w:spacing w:line="380" w:lineRule="exact"/>
        <w:ind w:right="25" w:rightChars="12"/>
        <w:jc w:val="center"/>
        <w:rPr>
          <w:rFonts w:ascii="Times New Roman" w:hAnsi="Times New Roman"/>
          <w:b/>
          <w:bCs/>
          <w:color w:val="auto"/>
          <w:sz w:val="28"/>
          <w:szCs w:val="22"/>
          <w:highlight w:val="none"/>
        </w:rPr>
      </w:pPr>
      <w:r>
        <w:rPr>
          <w:rFonts w:ascii="Times New Roman" w:hAnsi="Times New Roman"/>
          <w:b/>
          <w:bCs/>
          <w:color w:val="auto"/>
          <w:sz w:val="28"/>
          <w:szCs w:val="22"/>
          <w:highlight w:val="none"/>
        </w:rPr>
        <w:t>拟派驻本项目现场监理部人员一览表</w:t>
      </w:r>
    </w:p>
    <w:tbl>
      <w:tblPr>
        <w:tblStyle w:val="18"/>
        <w:tblW w:w="97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181"/>
        <w:gridCol w:w="656"/>
        <w:gridCol w:w="587"/>
        <w:gridCol w:w="722"/>
        <w:gridCol w:w="776"/>
        <w:gridCol w:w="761"/>
        <w:gridCol w:w="1080"/>
        <w:gridCol w:w="1080"/>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jc w:val="center"/>
        </w:trPr>
        <w:tc>
          <w:tcPr>
            <w:tcW w:w="1424"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拟任本项目监理职务</w:t>
            </w:r>
          </w:p>
        </w:tc>
        <w:tc>
          <w:tcPr>
            <w:tcW w:w="1181"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姓名</w:t>
            </w:r>
          </w:p>
        </w:tc>
        <w:tc>
          <w:tcPr>
            <w:tcW w:w="656"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性别</w:t>
            </w:r>
          </w:p>
        </w:tc>
        <w:tc>
          <w:tcPr>
            <w:tcW w:w="587"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年龄</w:t>
            </w:r>
          </w:p>
        </w:tc>
        <w:tc>
          <w:tcPr>
            <w:tcW w:w="722"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学历</w:t>
            </w:r>
          </w:p>
        </w:tc>
        <w:tc>
          <w:tcPr>
            <w:tcW w:w="776"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专业</w:t>
            </w:r>
          </w:p>
        </w:tc>
        <w:tc>
          <w:tcPr>
            <w:tcW w:w="761"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职称</w:t>
            </w:r>
          </w:p>
        </w:tc>
        <w:tc>
          <w:tcPr>
            <w:tcW w:w="1080"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从事监理工作年限</w:t>
            </w:r>
          </w:p>
        </w:tc>
        <w:tc>
          <w:tcPr>
            <w:tcW w:w="1080" w:type="dxa"/>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现有监理资质证书及编号</w:t>
            </w:r>
          </w:p>
        </w:tc>
        <w:tc>
          <w:tcPr>
            <w:tcW w:w="1496"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eastAsia="仿宋_GB2312"/>
                <w:color w:val="auto"/>
                <w:sz w:val="24"/>
                <w:szCs w:val="22"/>
                <w:highlight w:val="none"/>
              </w:rPr>
            </w:pPr>
            <w:r>
              <w:rPr>
                <w:rFonts w:ascii="Times New Roman" w:hAnsi="Times New Roman"/>
                <w:color w:val="auto"/>
                <w:sz w:val="20"/>
                <w:szCs w:val="22"/>
                <w:highlight w:val="none"/>
              </w:rPr>
              <w:t>……</w:t>
            </w: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424" w:type="dxa"/>
          </w:tcPr>
          <w:p>
            <w:pPr>
              <w:jc w:val="center"/>
              <w:rPr>
                <w:rFonts w:ascii="Times New Roman" w:hAnsi="Times New Roman" w:eastAsia="仿宋_GB2312"/>
                <w:color w:val="auto"/>
                <w:sz w:val="24"/>
                <w:szCs w:val="22"/>
                <w:highlight w:val="none"/>
              </w:rPr>
            </w:pPr>
          </w:p>
        </w:tc>
        <w:tc>
          <w:tcPr>
            <w:tcW w:w="1181" w:type="dxa"/>
          </w:tcPr>
          <w:p>
            <w:pPr>
              <w:jc w:val="center"/>
              <w:rPr>
                <w:rFonts w:ascii="Times New Roman" w:hAnsi="Times New Roman"/>
                <w:color w:val="auto"/>
                <w:sz w:val="20"/>
                <w:szCs w:val="22"/>
                <w:highlight w:val="none"/>
              </w:rPr>
            </w:pPr>
          </w:p>
        </w:tc>
        <w:tc>
          <w:tcPr>
            <w:tcW w:w="656" w:type="dxa"/>
          </w:tcPr>
          <w:p>
            <w:pPr>
              <w:jc w:val="center"/>
              <w:rPr>
                <w:rFonts w:ascii="Times New Roman" w:hAnsi="Times New Roman" w:eastAsia="仿宋_GB2312"/>
                <w:color w:val="auto"/>
                <w:sz w:val="24"/>
                <w:szCs w:val="22"/>
                <w:highlight w:val="none"/>
              </w:rPr>
            </w:pPr>
          </w:p>
        </w:tc>
        <w:tc>
          <w:tcPr>
            <w:tcW w:w="587" w:type="dxa"/>
          </w:tcPr>
          <w:p>
            <w:pPr>
              <w:jc w:val="center"/>
              <w:rPr>
                <w:rFonts w:ascii="Times New Roman" w:hAnsi="Times New Roman" w:eastAsia="仿宋_GB2312"/>
                <w:color w:val="auto"/>
                <w:sz w:val="24"/>
                <w:szCs w:val="22"/>
                <w:highlight w:val="none"/>
              </w:rPr>
            </w:pPr>
          </w:p>
        </w:tc>
        <w:tc>
          <w:tcPr>
            <w:tcW w:w="722" w:type="dxa"/>
          </w:tcPr>
          <w:p>
            <w:pPr>
              <w:jc w:val="center"/>
              <w:rPr>
                <w:rFonts w:ascii="Times New Roman" w:hAnsi="Times New Roman" w:eastAsia="仿宋_GB2312"/>
                <w:color w:val="auto"/>
                <w:sz w:val="24"/>
                <w:szCs w:val="22"/>
                <w:highlight w:val="none"/>
              </w:rPr>
            </w:pPr>
          </w:p>
        </w:tc>
        <w:tc>
          <w:tcPr>
            <w:tcW w:w="776" w:type="dxa"/>
          </w:tcPr>
          <w:p>
            <w:pPr>
              <w:jc w:val="center"/>
              <w:rPr>
                <w:rFonts w:ascii="Times New Roman" w:hAnsi="Times New Roman" w:eastAsia="仿宋_GB2312"/>
                <w:color w:val="auto"/>
                <w:sz w:val="24"/>
                <w:szCs w:val="22"/>
                <w:highlight w:val="none"/>
              </w:rPr>
            </w:pPr>
          </w:p>
        </w:tc>
        <w:tc>
          <w:tcPr>
            <w:tcW w:w="761"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080" w:type="dxa"/>
          </w:tcPr>
          <w:p>
            <w:pPr>
              <w:jc w:val="center"/>
              <w:rPr>
                <w:rFonts w:ascii="Times New Roman" w:hAnsi="Times New Roman" w:eastAsia="仿宋_GB2312"/>
                <w:color w:val="auto"/>
                <w:sz w:val="24"/>
                <w:szCs w:val="22"/>
                <w:highlight w:val="none"/>
              </w:rPr>
            </w:pPr>
          </w:p>
        </w:tc>
        <w:tc>
          <w:tcPr>
            <w:tcW w:w="1496" w:type="dxa"/>
          </w:tcPr>
          <w:p>
            <w:pPr>
              <w:jc w:val="center"/>
              <w:rPr>
                <w:rFonts w:ascii="Times New Roman" w:hAnsi="Times New Roman" w:eastAsia="仿宋_GB2312"/>
                <w:color w:val="auto"/>
                <w:sz w:val="24"/>
                <w:szCs w:val="22"/>
                <w:highlight w:val="none"/>
              </w:rPr>
            </w:pPr>
          </w:p>
        </w:tc>
      </w:tr>
    </w:tbl>
    <w:p>
      <w:pPr>
        <w:pStyle w:val="6"/>
        <w:rPr>
          <w:rFonts w:ascii="Times New Roman" w:hAnsi="Times New Roman" w:eastAsia="宋体"/>
          <w:b w:val="0"/>
          <w:bCs w:val="0"/>
          <w:color w:val="auto"/>
          <w:sz w:val="22"/>
          <w:szCs w:val="28"/>
          <w:highlight w:val="none"/>
        </w:rPr>
      </w:pPr>
      <w:r>
        <w:rPr>
          <w:rFonts w:ascii="Times New Roman" w:hAnsi="Times New Roman" w:eastAsia="宋体"/>
          <w:b w:val="0"/>
          <w:bCs w:val="0"/>
          <w:color w:val="auto"/>
          <w:sz w:val="22"/>
          <w:szCs w:val="28"/>
          <w:highlight w:val="none"/>
        </w:rPr>
        <w:br w:type="page"/>
      </w:r>
      <w:bookmarkStart w:id="144" w:name="_Toc19453"/>
      <w:bookmarkStart w:id="145" w:name="_Toc405313186"/>
      <w:bookmarkStart w:id="146" w:name="_Toc509841413"/>
      <w:bookmarkStart w:id="147" w:name="_Toc29776"/>
      <w:r>
        <w:rPr>
          <w:rFonts w:ascii="Times New Roman" w:hAnsi="Times New Roman" w:eastAsia="宋体"/>
          <w:b w:val="0"/>
          <w:bCs w:val="0"/>
          <w:color w:val="auto"/>
          <w:sz w:val="22"/>
          <w:szCs w:val="28"/>
          <w:highlight w:val="none"/>
        </w:rPr>
        <w:t>格式七：</w:t>
      </w:r>
      <w:bookmarkEnd w:id="144"/>
      <w:bookmarkEnd w:id="145"/>
      <w:bookmarkEnd w:id="146"/>
      <w:bookmarkEnd w:id="147"/>
    </w:p>
    <w:p>
      <w:pPr>
        <w:tabs>
          <w:tab w:val="left" w:pos="0"/>
          <w:tab w:val="left" w:pos="1440"/>
        </w:tabs>
        <w:spacing w:line="380" w:lineRule="exact"/>
        <w:ind w:right="25" w:rightChars="12"/>
        <w:jc w:val="center"/>
        <w:rPr>
          <w:rFonts w:ascii="Times New Roman" w:hAnsi="Times New Roman"/>
          <w:b/>
          <w:bCs/>
          <w:color w:val="auto"/>
          <w:sz w:val="28"/>
          <w:szCs w:val="22"/>
          <w:highlight w:val="none"/>
        </w:rPr>
      </w:pPr>
      <w:r>
        <w:rPr>
          <w:rFonts w:ascii="Times New Roman" w:hAnsi="Times New Roman"/>
          <w:b/>
          <w:bCs/>
          <w:color w:val="auto"/>
          <w:sz w:val="28"/>
          <w:szCs w:val="22"/>
          <w:highlight w:val="none"/>
        </w:rPr>
        <w:t>拟派驻本项目现场监理部人员简历</w:t>
      </w:r>
    </w:p>
    <w:p>
      <w:pPr>
        <w:spacing w:line="360" w:lineRule="auto"/>
        <w:rPr>
          <w:rFonts w:ascii="Times New Roman" w:hAnsi="Times New Roman"/>
          <w:color w:val="auto"/>
          <w:sz w:val="22"/>
          <w:szCs w:val="22"/>
          <w:highlight w:val="none"/>
        </w:rPr>
      </w:pPr>
    </w:p>
    <w:tbl>
      <w:tblPr>
        <w:tblStyle w:val="18"/>
        <w:tblW w:w="9060" w:type="dxa"/>
        <w:tblInd w:w="1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94"/>
        <w:gridCol w:w="750"/>
        <w:gridCol w:w="561"/>
        <w:gridCol w:w="751"/>
        <w:gridCol w:w="1909"/>
        <w:gridCol w:w="1468"/>
        <w:gridCol w:w="22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26" w:hRule="atLeast"/>
        </w:trPr>
        <w:tc>
          <w:tcPr>
            <w:tcW w:w="5365" w:type="dxa"/>
            <w:gridSpan w:val="5"/>
            <w:vAlign w:val="center"/>
          </w:tcPr>
          <w:p>
            <w:pPr>
              <w:ind w:left="72"/>
              <w:rPr>
                <w:rFonts w:ascii="Times New Roman" w:hAnsi="Times New Roman"/>
                <w:b/>
                <w:bCs/>
                <w:color w:val="auto"/>
                <w:sz w:val="22"/>
                <w:szCs w:val="22"/>
                <w:highlight w:val="none"/>
              </w:rPr>
            </w:pPr>
            <w:r>
              <w:rPr>
                <w:rFonts w:ascii="Times New Roman" w:hAnsi="Times New Roman"/>
                <w:b/>
                <w:bCs/>
                <w:color w:val="auto"/>
                <w:sz w:val="22"/>
                <w:szCs w:val="22"/>
                <w:highlight w:val="none"/>
              </w:rPr>
              <w:t>职位</w:t>
            </w:r>
          </w:p>
        </w:tc>
        <w:tc>
          <w:tcPr>
            <w:tcW w:w="3695" w:type="dxa"/>
            <w:gridSpan w:val="2"/>
            <w:vAlign w:val="center"/>
          </w:tcPr>
          <w:p>
            <w:pPr>
              <w:ind w:left="122"/>
              <w:rPr>
                <w:rFonts w:ascii="Times New Roman" w:hAnsi="Times New Roman"/>
                <w:color w:val="auto"/>
                <w:sz w:val="20"/>
                <w:szCs w:val="22"/>
                <w:highlight w:val="none"/>
              </w:rPr>
            </w:pPr>
            <w:r>
              <w:rPr>
                <w:rFonts w:ascii="Times New Roman" w:hAnsi="Times New Roman"/>
                <w:color w:val="auto"/>
                <w:sz w:val="20"/>
                <w:szCs w:val="22"/>
                <w:highlight w:val="none"/>
              </w:rPr>
              <w:t xml:space="preserve">候选人     </w:t>
            </w:r>
          </w:p>
          <w:p>
            <w:pPr>
              <w:rPr>
                <w:rFonts w:ascii="Times New Roman" w:hAnsi="Times New Roman"/>
                <w:color w:val="auto"/>
                <w:sz w:val="20"/>
                <w:szCs w:val="22"/>
                <w:highlight w:val="none"/>
              </w:rPr>
            </w:pPr>
            <w:r>
              <w:rPr>
                <w:rFonts w:ascii="Times New Roman" w:hAnsi="Times New Roman"/>
                <w:color w:val="auto"/>
                <w:sz w:val="20"/>
                <w:szCs w:val="22"/>
                <w:highlight w:val="none"/>
              </w:rPr>
              <w:t xml:space="preserve">          □主要    □替补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712" w:hRule="atLeast"/>
        </w:trPr>
        <w:tc>
          <w:tcPr>
            <w:tcW w:w="1394" w:type="dxa"/>
            <w:vMerge w:val="restart"/>
            <w:tcBorders>
              <w:top w:val="single" w:color="auto" w:sz="6" w:space="0"/>
            </w:tcBorders>
            <w:vAlign w:val="center"/>
          </w:tcPr>
          <w:p>
            <w:pPr>
              <w:jc w:val="center"/>
              <w:rPr>
                <w:rFonts w:ascii="Times New Roman" w:hAnsi="Times New Roman"/>
                <w:color w:val="auto"/>
                <w:sz w:val="20"/>
                <w:szCs w:val="22"/>
                <w:highlight w:val="none"/>
              </w:rPr>
            </w:pPr>
            <w:r>
              <w:rPr>
                <w:rFonts w:ascii="Times New Roman" w:hAnsi="Times New Roman"/>
                <w:color w:val="auto"/>
                <w:sz w:val="20"/>
                <w:szCs w:val="22"/>
                <w:highlight w:val="none"/>
              </w:rPr>
              <w:t>候</w:t>
            </w:r>
          </w:p>
          <w:p>
            <w:pPr>
              <w:jc w:val="center"/>
              <w:rPr>
                <w:rFonts w:ascii="Times New Roman" w:hAnsi="Times New Roman"/>
                <w:color w:val="auto"/>
                <w:sz w:val="20"/>
                <w:szCs w:val="22"/>
                <w:highlight w:val="none"/>
              </w:rPr>
            </w:pPr>
            <w:r>
              <w:rPr>
                <w:rFonts w:ascii="Times New Roman" w:hAnsi="Times New Roman"/>
                <w:color w:val="auto"/>
                <w:sz w:val="20"/>
                <w:szCs w:val="22"/>
                <w:highlight w:val="none"/>
              </w:rPr>
              <w:t>选</w:t>
            </w:r>
          </w:p>
          <w:p>
            <w:pPr>
              <w:jc w:val="center"/>
              <w:rPr>
                <w:rFonts w:ascii="Times New Roman" w:hAnsi="Times New Roman"/>
                <w:color w:val="auto"/>
                <w:sz w:val="20"/>
                <w:szCs w:val="22"/>
                <w:highlight w:val="none"/>
              </w:rPr>
            </w:pPr>
            <w:r>
              <w:rPr>
                <w:rFonts w:ascii="Times New Roman" w:hAnsi="Times New Roman"/>
                <w:color w:val="auto"/>
                <w:sz w:val="20"/>
                <w:szCs w:val="22"/>
                <w:highlight w:val="none"/>
              </w:rPr>
              <w:t>人</w:t>
            </w:r>
          </w:p>
          <w:p>
            <w:pPr>
              <w:jc w:val="center"/>
              <w:rPr>
                <w:rFonts w:ascii="Times New Roman" w:hAnsi="Times New Roman"/>
                <w:color w:val="auto"/>
                <w:sz w:val="20"/>
                <w:szCs w:val="22"/>
                <w:highlight w:val="none"/>
              </w:rPr>
            </w:pPr>
            <w:r>
              <w:rPr>
                <w:rFonts w:ascii="Times New Roman" w:hAnsi="Times New Roman"/>
                <w:color w:val="auto"/>
                <w:sz w:val="20"/>
                <w:szCs w:val="22"/>
                <w:highlight w:val="none"/>
              </w:rPr>
              <w:t>资</w:t>
            </w:r>
          </w:p>
          <w:p>
            <w:pPr>
              <w:jc w:val="center"/>
              <w:rPr>
                <w:rFonts w:ascii="Times New Roman" w:hAnsi="Times New Roman"/>
                <w:color w:val="auto"/>
                <w:sz w:val="20"/>
                <w:szCs w:val="22"/>
                <w:highlight w:val="none"/>
              </w:rPr>
            </w:pPr>
            <w:r>
              <w:rPr>
                <w:rFonts w:ascii="Times New Roman" w:hAnsi="Times New Roman"/>
                <w:color w:val="auto"/>
                <w:sz w:val="20"/>
                <w:szCs w:val="22"/>
                <w:highlight w:val="none"/>
              </w:rPr>
              <w:t>料</w:t>
            </w:r>
          </w:p>
        </w:tc>
        <w:tc>
          <w:tcPr>
            <w:tcW w:w="2062" w:type="dxa"/>
            <w:gridSpan w:val="3"/>
            <w:tcBorders>
              <w:right w:val="single" w:color="auto" w:sz="4" w:space="0"/>
            </w:tcBorders>
            <w:vAlign w:val="center"/>
          </w:tcPr>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候选人姓名</w:t>
            </w:r>
          </w:p>
        </w:tc>
        <w:tc>
          <w:tcPr>
            <w:tcW w:w="1909" w:type="dxa"/>
            <w:tcBorders>
              <w:left w:val="single" w:color="auto" w:sz="4" w:space="0"/>
            </w:tcBorders>
            <w:vAlign w:val="center"/>
          </w:tcPr>
          <w:p>
            <w:pPr>
              <w:jc w:val="center"/>
              <w:rPr>
                <w:rFonts w:ascii="Times New Roman" w:hAnsi="Times New Roman"/>
                <w:color w:val="auto"/>
                <w:sz w:val="20"/>
                <w:szCs w:val="22"/>
                <w:highlight w:val="none"/>
              </w:rPr>
            </w:pPr>
          </w:p>
        </w:tc>
        <w:tc>
          <w:tcPr>
            <w:tcW w:w="1468" w:type="dxa"/>
            <w:tcBorders>
              <w:right w:val="single" w:color="auto" w:sz="4" w:space="0"/>
            </w:tcBorders>
            <w:vAlign w:val="center"/>
          </w:tcPr>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出生年月</w:t>
            </w:r>
          </w:p>
          <w:p>
            <w:pPr>
              <w:ind w:left="72"/>
              <w:jc w:val="center"/>
              <w:rPr>
                <w:rFonts w:ascii="Times New Roman" w:hAnsi="Times New Roman"/>
                <w:color w:val="auto"/>
                <w:sz w:val="20"/>
                <w:szCs w:val="22"/>
                <w:highlight w:val="none"/>
              </w:rPr>
            </w:pPr>
          </w:p>
        </w:tc>
        <w:tc>
          <w:tcPr>
            <w:tcW w:w="2227" w:type="dxa"/>
            <w:tcBorders>
              <w:left w:val="single" w:color="auto" w:sz="4" w:space="0"/>
            </w:tcBorders>
            <w:vAlign w:val="center"/>
          </w:tcPr>
          <w:p>
            <w:pPr>
              <w:ind w:left="72"/>
              <w:rPr>
                <w:rFonts w:ascii="Times New Roman" w:hAnsi="Times New Roman"/>
                <w:color w:val="auto"/>
                <w:sz w:val="20"/>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712" w:hRule="atLeast"/>
        </w:trPr>
        <w:tc>
          <w:tcPr>
            <w:tcW w:w="1394" w:type="dxa"/>
            <w:vMerge w:val="continue"/>
            <w:vAlign w:val="center"/>
          </w:tcPr>
          <w:p>
            <w:pPr>
              <w:rPr>
                <w:rFonts w:ascii="Times New Roman" w:hAnsi="Times New Roman"/>
                <w:color w:val="auto"/>
                <w:sz w:val="20"/>
                <w:szCs w:val="22"/>
                <w:highlight w:val="none"/>
              </w:rPr>
            </w:pPr>
          </w:p>
        </w:tc>
        <w:tc>
          <w:tcPr>
            <w:tcW w:w="2062" w:type="dxa"/>
            <w:gridSpan w:val="3"/>
            <w:tcBorders>
              <w:right w:val="single" w:color="auto" w:sz="4" w:space="0"/>
            </w:tcBorders>
            <w:vAlign w:val="center"/>
          </w:tcPr>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学历</w:t>
            </w:r>
          </w:p>
        </w:tc>
        <w:tc>
          <w:tcPr>
            <w:tcW w:w="1909" w:type="dxa"/>
            <w:tcBorders>
              <w:left w:val="single" w:color="auto" w:sz="4" w:space="0"/>
            </w:tcBorders>
            <w:vAlign w:val="center"/>
          </w:tcPr>
          <w:p>
            <w:pPr>
              <w:jc w:val="center"/>
              <w:rPr>
                <w:rFonts w:ascii="Times New Roman" w:hAnsi="Times New Roman"/>
                <w:color w:val="auto"/>
                <w:sz w:val="20"/>
                <w:szCs w:val="22"/>
                <w:highlight w:val="none"/>
              </w:rPr>
            </w:pPr>
          </w:p>
        </w:tc>
        <w:tc>
          <w:tcPr>
            <w:tcW w:w="1468" w:type="dxa"/>
            <w:tcBorders>
              <w:right w:val="single" w:color="auto" w:sz="4" w:space="0"/>
            </w:tcBorders>
            <w:vAlign w:val="center"/>
          </w:tcPr>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职称</w:t>
            </w:r>
          </w:p>
        </w:tc>
        <w:tc>
          <w:tcPr>
            <w:tcW w:w="2227" w:type="dxa"/>
            <w:tcBorders>
              <w:left w:val="single" w:color="auto" w:sz="4" w:space="0"/>
            </w:tcBorders>
            <w:vAlign w:val="center"/>
          </w:tcPr>
          <w:p>
            <w:pPr>
              <w:rPr>
                <w:rFonts w:ascii="Times New Roman" w:hAnsi="Times New Roman"/>
                <w:color w:val="auto"/>
                <w:sz w:val="20"/>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712" w:hRule="atLeast"/>
        </w:trPr>
        <w:tc>
          <w:tcPr>
            <w:tcW w:w="1394" w:type="dxa"/>
            <w:vMerge w:val="continue"/>
            <w:vAlign w:val="center"/>
          </w:tcPr>
          <w:p>
            <w:pPr>
              <w:rPr>
                <w:rFonts w:ascii="Times New Roman" w:hAnsi="Times New Roman"/>
                <w:color w:val="auto"/>
                <w:sz w:val="20"/>
                <w:szCs w:val="22"/>
                <w:highlight w:val="none"/>
              </w:rPr>
            </w:pPr>
          </w:p>
        </w:tc>
        <w:tc>
          <w:tcPr>
            <w:tcW w:w="2062" w:type="dxa"/>
            <w:gridSpan w:val="3"/>
            <w:tcBorders>
              <w:right w:val="single" w:color="auto" w:sz="4" w:space="0"/>
            </w:tcBorders>
            <w:vAlign w:val="center"/>
          </w:tcPr>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职务</w:t>
            </w:r>
          </w:p>
        </w:tc>
        <w:tc>
          <w:tcPr>
            <w:tcW w:w="1909" w:type="dxa"/>
            <w:tcBorders>
              <w:left w:val="single" w:color="auto" w:sz="4" w:space="0"/>
            </w:tcBorders>
            <w:vAlign w:val="center"/>
          </w:tcPr>
          <w:p>
            <w:pPr>
              <w:jc w:val="center"/>
              <w:rPr>
                <w:rFonts w:ascii="Times New Roman" w:hAnsi="Times New Roman"/>
                <w:color w:val="auto"/>
                <w:sz w:val="20"/>
                <w:szCs w:val="22"/>
                <w:highlight w:val="none"/>
              </w:rPr>
            </w:pPr>
          </w:p>
        </w:tc>
        <w:tc>
          <w:tcPr>
            <w:tcW w:w="1468" w:type="dxa"/>
            <w:tcBorders>
              <w:right w:val="single" w:color="auto" w:sz="4" w:space="0"/>
            </w:tcBorders>
            <w:vAlign w:val="center"/>
          </w:tcPr>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工作年限</w:t>
            </w:r>
          </w:p>
        </w:tc>
        <w:tc>
          <w:tcPr>
            <w:tcW w:w="2227" w:type="dxa"/>
            <w:tcBorders>
              <w:left w:val="single" w:color="auto" w:sz="4" w:space="0"/>
            </w:tcBorders>
            <w:vAlign w:val="center"/>
          </w:tcPr>
          <w:p>
            <w:pPr>
              <w:rPr>
                <w:rFonts w:ascii="Times New Roman" w:hAnsi="Times New Roman"/>
                <w:color w:val="auto"/>
                <w:sz w:val="20"/>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712" w:hRule="atLeast"/>
        </w:trPr>
        <w:tc>
          <w:tcPr>
            <w:tcW w:w="1394" w:type="dxa"/>
            <w:vMerge w:val="continue"/>
            <w:vAlign w:val="center"/>
          </w:tcPr>
          <w:p>
            <w:pPr>
              <w:rPr>
                <w:rFonts w:ascii="Times New Roman" w:hAnsi="Times New Roman"/>
                <w:color w:val="auto"/>
                <w:sz w:val="20"/>
                <w:szCs w:val="22"/>
                <w:highlight w:val="none"/>
              </w:rPr>
            </w:pPr>
          </w:p>
        </w:tc>
        <w:tc>
          <w:tcPr>
            <w:tcW w:w="2062" w:type="dxa"/>
            <w:gridSpan w:val="3"/>
            <w:tcBorders>
              <w:right w:val="single" w:color="auto" w:sz="4" w:space="0"/>
            </w:tcBorders>
            <w:vAlign w:val="center"/>
          </w:tcPr>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从事监理</w:t>
            </w:r>
          </w:p>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工作年限</w:t>
            </w:r>
          </w:p>
        </w:tc>
        <w:tc>
          <w:tcPr>
            <w:tcW w:w="1909" w:type="dxa"/>
            <w:tcBorders>
              <w:left w:val="single" w:color="auto" w:sz="4" w:space="0"/>
            </w:tcBorders>
            <w:vAlign w:val="center"/>
          </w:tcPr>
          <w:p>
            <w:pPr>
              <w:jc w:val="center"/>
              <w:rPr>
                <w:rFonts w:ascii="Times New Roman" w:hAnsi="Times New Roman"/>
                <w:color w:val="auto"/>
                <w:sz w:val="20"/>
                <w:szCs w:val="22"/>
                <w:highlight w:val="none"/>
              </w:rPr>
            </w:pPr>
          </w:p>
        </w:tc>
        <w:tc>
          <w:tcPr>
            <w:tcW w:w="1468" w:type="dxa"/>
            <w:tcBorders>
              <w:right w:val="single" w:color="auto" w:sz="4" w:space="0"/>
            </w:tcBorders>
            <w:vAlign w:val="center"/>
          </w:tcPr>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从事类似</w:t>
            </w:r>
          </w:p>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工作年限</w:t>
            </w:r>
          </w:p>
        </w:tc>
        <w:tc>
          <w:tcPr>
            <w:tcW w:w="2227" w:type="dxa"/>
            <w:tcBorders>
              <w:left w:val="single" w:color="auto" w:sz="4" w:space="0"/>
            </w:tcBorders>
            <w:vAlign w:val="center"/>
          </w:tcPr>
          <w:p>
            <w:pPr>
              <w:rPr>
                <w:rFonts w:ascii="Times New Roman" w:hAnsi="Times New Roman"/>
                <w:color w:val="auto"/>
                <w:sz w:val="20"/>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712" w:hRule="atLeast"/>
        </w:trPr>
        <w:tc>
          <w:tcPr>
            <w:tcW w:w="1394" w:type="dxa"/>
            <w:vMerge w:val="continue"/>
            <w:vAlign w:val="center"/>
          </w:tcPr>
          <w:p>
            <w:pPr>
              <w:rPr>
                <w:rFonts w:ascii="Times New Roman" w:hAnsi="Times New Roman"/>
                <w:color w:val="auto"/>
                <w:sz w:val="20"/>
                <w:szCs w:val="22"/>
                <w:highlight w:val="none"/>
              </w:rPr>
            </w:pPr>
          </w:p>
        </w:tc>
        <w:tc>
          <w:tcPr>
            <w:tcW w:w="750" w:type="dxa"/>
            <w:vMerge w:val="restart"/>
            <w:tcBorders>
              <w:right w:val="single" w:color="auto" w:sz="4" w:space="0"/>
            </w:tcBorders>
            <w:vAlign w:val="center"/>
          </w:tcPr>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监</w:t>
            </w:r>
          </w:p>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理</w:t>
            </w:r>
          </w:p>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证</w:t>
            </w:r>
          </w:p>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书</w:t>
            </w:r>
          </w:p>
        </w:tc>
        <w:tc>
          <w:tcPr>
            <w:tcW w:w="1312" w:type="dxa"/>
            <w:gridSpan w:val="2"/>
            <w:tcBorders>
              <w:left w:val="single" w:color="auto" w:sz="4" w:space="0"/>
              <w:right w:val="single" w:color="auto" w:sz="4" w:space="0"/>
            </w:tcBorders>
            <w:vAlign w:val="center"/>
          </w:tcPr>
          <w:p>
            <w:pPr>
              <w:jc w:val="center"/>
              <w:rPr>
                <w:rFonts w:ascii="Times New Roman" w:hAnsi="Times New Roman"/>
                <w:color w:val="auto"/>
                <w:sz w:val="20"/>
                <w:szCs w:val="22"/>
                <w:highlight w:val="none"/>
              </w:rPr>
            </w:pPr>
            <w:r>
              <w:rPr>
                <w:rFonts w:ascii="Times New Roman" w:hAnsi="Times New Roman"/>
                <w:color w:val="auto"/>
                <w:sz w:val="20"/>
                <w:szCs w:val="22"/>
                <w:highlight w:val="none"/>
              </w:rPr>
              <w:t>证书</w:t>
            </w:r>
          </w:p>
        </w:tc>
        <w:tc>
          <w:tcPr>
            <w:tcW w:w="1909" w:type="dxa"/>
            <w:tcBorders>
              <w:left w:val="single" w:color="auto" w:sz="4" w:space="0"/>
            </w:tcBorders>
            <w:vAlign w:val="center"/>
          </w:tcPr>
          <w:p>
            <w:pPr>
              <w:jc w:val="center"/>
              <w:rPr>
                <w:rFonts w:ascii="Times New Roman" w:hAnsi="Times New Roman"/>
                <w:color w:val="auto"/>
                <w:sz w:val="20"/>
                <w:szCs w:val="22"/>
                <w:highlight w:val="none"/>
              </w:rPr>
            </w:pPr>
            <w:r>
              <w:rPr>
                <w:rFonts w:ascii="Times New Roman" w:hAnsi="Times New Roman"/>
                <w:color w:val="auto"/>
                <w:sz w:val="20"/>
                <w:szCs w:val="22"/>
                <w:highlight w:val="none"/>
              </w:rPr>
              <w:t>编号</w:t>
            </w:r>
          </w:p>
        </w:tc>
        <w:tc>
          <w:tcPr>
            <w:tcW w:w="1468" w:type="dxa"/>
            <w:tcBorders>
              <w:right w:val="single" w:color="auto" w:sz="4" w:space="0"/>
            </w:tcBorders>
            <w:vAlign w:val="center"/>
          </w:tcPr>
          <w:p>
            <w:pPr>
              <w:ind w:left="72"/>
              <w:jc w:val="center"/>
              <w:rPr>
                <w:rFonts w:ascii="Times New Roman" w:hAnsi="Times New Roman"/>
                <w:color w:val="auto"/>
                <w:sz w:val="20"/>
                <w:szCs w:val="22"/>
                <w:highlight w:val="none"/>
              </w:rPr>
            </w:pPr>
            <w:r>
              <w:rPr>
                <w:rFonts w:ascii="Times New Roman" w:hAnsi="Times New Roman"/>
                <w:color w:val="auto"/>
                <w:sz w:val="20"/>
                <w:szCs w:val="22"/>
                <w:highlight w:val="none"/>
              </w:rPr>
              <w:t>发证日期</w:t>
            </w:r>
          </w:p>
        </w:tc>
        <w:tc>
          <w:tcPr>
            <w:tcW w:w="2227" w:type="dxa"/>
            <w:tcBorders>
              <w:left w:val="single" w:color="auto" w:sz="4" w:space="0"/>
            </w:tcBorders>
            <w:vAlign w:val="center"/>
          </w:tcPr>
          <w:p>
            <w:pPr>
              <w:jc w:val="center"/>
              <w:rPr>
                <w:rFonts w:ascii="Times New Roman" w:hAnsi="Times New Roman"/>
                <w:color w:val="auto"/>
                <w:sz w:val="20"/>
                <w:szCs w:val="22"/>
                <w:highlight w:val="none"/>
              </w:rPr>
            </w:pPr>
            <w:r>
              <w:rPr>
                <w:rFonts w:ascii="Times New Roman" w:hAnsi="Times New Roman"/>
                <w:color w:val="auto"/>
                <w:sz w:val="20"/>
                <w:szCs w:val="22"/>
                <w:highlight w:val="none"/>
              </w:rPr>
              <w:t>发证机构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712" w:hRule="atLeast"/>
        </w:trPr>
        <w:tc>
          <w:tcPr>
            <w:tcW w:w="1394" w:type="dxa"/>
            <w:vMerge w:val="continue"/>
            <w:vAlign w:val="center"/>
          </w:tcPr>
          <w:p>
            <w:pPr>
              <w:rPr>
                <w:rFonts w:ascii="Times New Roman" w:hAnsi="Times New Roman"/>
                <w:color w:val="auto"/>
                <w:sz w:val="20"/>
                <w:szCs w:val="22"/>
                <w:highlight w:val="none"/>
              </w:rPr>
            </w:pPr>
          </w:p>
        </w:tc>
        <w:tc>
          <w:tcPr>
            <w:tcW w:w="750" w:type="dxa"/>
            <w:vMerge w:val="continue"/>
            <w:tcBorders>
              <w:right w:val="single" w:color="auto" w:sz="4" w:space="0"/>
            </w:tcBorders>
            <w:vAlign w:val="center"/>
          </w:tcPr>
          <w:p>
            <w:pPr>
              <w:ind w:left="72"/>
              <w:rPr>
                <w:rFonts w:ascii="Times New Roman" w:hAnsi="Times New Roman"/>
                <w:color w:val="auto"/>
                <w:sz w:val="20"/>
                <w:szCs w:val="22"/>
                <w:highlight w:val="none"/>
              </w:rPr>
            </w:pPr>
          </w:p>
        </w:tc>
        <w:tc>
          <w:tcPr>
            <w:tcW w:w="1312" w:type="dxa"/>
            <w:gridSpan w:val="2"/>
            <w:tcBorders>
              <w:left w:val="single" w:color="auto" w:sz="4" w:space="0"/>
              <w:right w:val="single" w:color="auto" w:sz="4" w:space="0"/>
            </w:tcBorders>
            <w:vAlign w:val="center"/>
          </w:tcPr>
          <w:p>
            <w:pPr>
              <w:jc w:val="center"/>
              <w:rPr>
                <w:rFonts w:ascii="Times New Roman" w:hAnsi="Times New Roman"/>
                <w:color w:val="auto"/>
                <w:sz w:val="20"/>
                <w:szCs w:val="22"/>
                <w:highlight w:val="none"/>
              </w:rPr>
            </w:pPr>
            <w:r>
              <w:rPr>
                <w:rFonts w:ascii="Times New Roman" w:hAnsi="Times New Roman"/>
                <w:color w:val="auto"/>
                <w:sz w:val="20"/>
                <w:szCs w:val="22"/>
                <w:highlight w:val="none"/>
              </w:rPr>
              <w:t>培训证书</w:t>
            </w:r>
          </w:p>
        </w:tc>
        <w:tc>
          <w:tcPr>
            <w:tcW w:w="1909" w:type="dxa"/>
            <w:tcBorders>
              <w:left w:val="single" w:color="auto" w:sz="4" w:space="0"/>
            </w:tcBorders>
            <w:vAlign w:val="center"/>
          </w:tcPr>
          <w:p>
            <w:pPr>
              <w:jc w:val="center"/>
              <w:rPr>
                <w:rFonts w:ascii="Times New Roman" w:hAnsi="Times New Roman"/>
                <w:color w:val="auto"/>
                <w:sz w:val="20"/>
                <w:szCs w:val="22"/>
                <w:highlight w:val="none"/>
              </w:rPr>
            </w:pPr>
          </w:p>
        </w:tc>
        <w:tc>
          <w:tcPr>
            <w:tcW w:w="1468" w:type="dxa"/>
            <w:tcBorders>
              <w:right w:val="single" w:color="auto" w:sz="4" w:space="0"/>
            </w:tcBorders>
            <w:vAlign w:val="center"/>
          </w:tcPr>
          <w:p>
            <w:pPr>
              <w:ind w:left="72"/>
              <w:jc w:val="center"/>
              <w:rPr>
                <w:rFonts w:ascii="Times New Roman" w:hAnsi="Times New Roman"/>
                <w:color w:val="auto"/>
                <w:sz w:val="20"/>
                <w:szCs w:val="22"/>
                <w:highlight w:val="none"/>
              </w:rPr>
            </w:pPr>
          </w:p>
        </w:tc>
        <w:tc>
          <w:tcPr>
            <w:tcW w:w="2227" w:type="dxa"/>
            <w:tcBorders>
              <w:left w:val="single" w:color="auto" w:sz="4" w:space="0"/>
            </w:tcBorders>
            <w:vAlign w:val="center"/>
          </w:tcPr>
          <w:p>
            <w:pPr>
              <w:jc w:val="center"/>
              <w:rPr>
                <w:rFonts w:ascii="Times New Roman" w:hAnsi="Times New Roman"/>
                <w:color w:val="auto"/>
                <w:sz w:val="20"/>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712" w:hRule="atLeast"/>
        </w:trPr>
        <w:tc>
          <w:tcPr>
            <w:tcW w:w="1394" w:type="dxa"/>
            <w:vMerge w:val="continue"/>
            <w:tcBorders>
              <w:bottom w:val="nil"/>
            </w:tcBorders>
            <w:vAlign w:val="center"/>
          </w:tcPr>
          <w:p>
            <w:pPr>
              <w:rPr>
                <w:rFonts w:ascii="Times New Roman" w:hAnsi="Times New Roman"/>
                <w:color w:val="auto"/>
                <w:sz w:val="20"/>
                <w:szCs w:val="22"/>
                <w:highlight w:val="none"/>
              </w:rPr>
            </w:pPr>
          </w:p>
        </w:tc>
        <w:tc>
          <w:tcPr>
            <w:tcW w:w="750" w:type="dxa"/>
            <w:vMerge w:val="continue"/>
            <w:tcBorders>
              <w:right w:val="single" w:color="auto" w:sz="4" w:space="0"/>
            </w:tcBorders>
            <w:vAlign w:val="center"/>
          </w:tcPr>
          <w:p>
            <w:pPr>
              <w:ind w:left="72"/>
              <w:rPr>
                <w:rFonts w:ascii="Times New Roman" w:hAnsi="Times New Roman"/>
                <w:color w:val="auto"/>
                <w:sz w:val="20"/>
                <w:szCs w:val="22"/>
                <w:highlight w:val="none"/>
              </w:rPr>
            </w:pPr>
          </w:p>
        </w:tc>
        <w:tc>
          <w:tcPr>
            <w:tcW w:w="1312" w:type="dxa"/>
            <w:gridSpan w:val="2"/>
            <w:tcBorders>
              <w:left w:val="single" w:color="auto" w:sz="4" w:space="0"/>
              <w:right w:val="single" w:color="auto" w:sz="4" w:space="0"/>
            </w:tcBorders>
            <w:vAlign w:val="center"/>
          </w:tcPr>
          <w:p>
            <w:pPr>
              <w:jc w:val="center"/>
              <w:rPr>
                <w:rFonts w:ascii="Times New Roman" w:hAnsi="Times New Roman"/>
                <w:color w:val="auto"/>
                <w:sz w:val="20"/>
                <w:szCs w:val="22"/>
                <w:highlight w:val="none"/>
              </w:rPr>
            </w:pPr>
            <w:r>
              <w:rPr>
                <w:rFonts w:ascii="Times New Roman" w:hAnsi="Times New Roman"/>
                <w:color w:val="auto"/>
                <w:sz w:val="20"/>
                <w:szCs w:val="22"/>
                <w:highlight w:val="none"/>
              </w:rPr>
              <w:t>监理工程师资格证书</w:t>
            </w:r>
          </w:p>
        </w:tc>
        <w:tc>
          <w:tcPr>
            <w:tcW w:w="1909" w:type="dxa"/>
            <w:tcBorders>
              <w:left w:val="single" w:color="auto" w:sz="4" w:space="0"/>
            </w:tcBorders>
            <w:vAlign w:val="center"/>
          </w:tcPr>
          <w:p>
            <w:pPr>
              <w:jc w:val="center"/>
              <w:rPr>
                <w:rFonts w:ascii="Times New Roman" w:hAnsi="Times New Roman"/>
                <w:color w:val="auto"/>
                <w:sz w:val="20"/>
                <w:szCs w:val="22"/>
                <w:highlight w:val="none"/>
              </w:rPr>
            </w:pPr>
          </w:p>
        </w:tc>
        <w:tc>
          <w:tcPr>
            <w:tcW w:w="1468" w:type="dxa"/>
            <w:tcBorders>
              <w:right w:val="single" w:color="auto" w:sz="4" w:space="0"/>
            </w:tcBorders>
            <w:vAlign w:val="center"/>
          </w:tcPr>
          <w:p>
            <w:pPr>
              <w:ind w:left="72"/>
              <w:jc w:val="center"/>
              <w:rPr>
                <w:rFonts w:ascii="Times New Roman" w:hAnsi="Times New Roman"/>
                <w:color w:val="auto"/>
                <w:sz w:val="20"/>
                <w:szCs w:val="22"/>
                <w:highlight w:val="none"/>
              </w:rPr>
            </w:pPr>
          </w:p>
        </w:tc>
        <w:tc>
          <w:tcPr>
            <w:tcW w:w="2227" w:type="dxa"/>
            <w:tcBorders>
              <w:left w:val="single" w:color="auto" w:sz="4" w:space="0"/>
            </w:tcBorders>
            <w:vAlign w:val="center"/>
          </w:tcPr>
          <w:p>
            <w:pPr>
              <w:jc w:val="center"/>
              <w:rPr>
                <w:rFonts w:ascii="Times New Roman" w:hAnsi="Times New Roman"/>
                <w:color w:val="auto"/>
                <w:sz w:val="20"/>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12" w:hRule="atLeast"/>
        </w:trPr>
        <w:tc>
          <w:tcPr>
            <w:tcW w:w="1394" w:type="dxa"/>
            <w:vAlign w:val="center"/>
          </w:tcPr>
          <w:p>
            <w:pPr>
              <w:jc w:val="center"/>
              <w:rPr>
                <w:rFonts w:ascii="Times New Roman" w:hAnsi="Times New Roman"/>
                <w:b/>
                <w:color w:val="auto"/>
                <w:sz w:val="20"/>
                <w:szCs w:val="22"/>
                <w:highlight w:val="none"/>
              </w:rPr>
            </w:pPr>
            <w:r>
              <w:rPr>
                <w:rFonts w:ascii="Times New Roman" w:hAnsi="Times New Roman"/>
                <w:b/>
                <w:color w:val="auto"/>
                <w:sz w:val="20"/>
                <w:szCs w:val="22"/>
                <w:highlight w:val="none"/>
              </w:rPr>
              <w:t>自</w:t>
            </w:r>
          </w:p>
        </w:tc>
        <w:tc>
          <w:tcPr>
            <w:tcW w:w="1311" w:type="dxa"/>
            <w:gridSpan w:val="2"/>
            <w:vAlign w:val="center"/>
          </w:tcPr>
          <w:p>
            <w:pPr>
              <w:jc w:val="center"/>
              <w:rPr>
                <w:rFonts w:ascii="Times New Roman" w:hAnsi="Times New Roman"/>
                <w:b/>
                <w:color w:val="auto"/>
                <w:sz w:val="20"/>
                <w:szCs w:val="22"/>
                <w:highlight w:val="none"/>
              </w:rPr>
            </w:pPr>
            <w:r>
              <w:rPr>
                <w:rFonts w:ascii="Times New Roman" w:hAnsi="Times New Roman"/>
                <w:b/>
                <w:color w:val="auto"/>
                <w:sz w:val="20"/>
                <w:szCs w:val="22"/>
                <w:highlight w:val="none"/>
              </w:rPr>
              <w:t>至</w:t>
            </w:r>
          </w:p>
        </w:tc>
        <w:tc>
          <w:tcPr>
            <w:tcW w:w="6355" w:type="dxa"/>
            <w:gridSpan w:val="4"/>
            <w:vAlign w:val="center"/>
          </w:tcPr>
          <w:p>
            <w:pPr>
              <w:jc w:val="center"/>
              <w:rPr>
                <w:rFonts w:ascii="Times New Roman" w:hAnsi="Times New Roman"/>
                <w:b/>
                <w:color w:val="auto"/>
                <w:sz w:val="20"/>
                <w:szCs w:val="22"/>
                <w:highlight w:val="none"/>
              </w:rPr>
            </w:pPr>
            <w:r>
              <w:rPr>
                <w:rFonts w:ascii="Times New Roman" w:hAnsi="Times New Roman"/>
                <w:b/>
                <w:color w:val="auto"/>
                <w:sz w:val="20"/>
                <w:szCs w:val="22"/>
                <w:highlight w:val="none"/>
              </w:rPr>
              <w:t>公司/项目/职务/有关技术及管理经验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12" w:hRule="atLeast"/>
        </w:trPr>
        <w:tc>
          <w:tcPr>
            <w:tcW w:w="1394" w:type="dxa"/>
            <w:vAlign w:val="center"/>
          </w:tcPr>
          <w:p>
            <w:pPr>
              <w:ind w:firstLine="420"/>
              <w:rPr>
                <w:rFonts w:ascii="Times New Roman" w:hAnsi="Times New Roman"/>
                <w:color w:val="auto"/>
                <w:sz w:val="20"/>
                <w:szCs w:val="22"/>
                <w:highlight w:val="none"/>
              </w:rPr>
            </w:pPr>
            <w:r>
              <w:rPr>
                <w:rFonts w:ascii="Times New Roman" w:hAnsi="Times New Roman"/>
                <w:color w:val="auto"/>
                <w:sz w:val="20"/>
                <w:szCs w:val="22"/>
                <w:highlight w:val="none"/>
              </w:rPr>
              <w:t>年   月</w:t>
            </w:r>
          </w:p>
        </w:tc>
        <w:tc>
          <w:tcPr>
            <w:tcW w:w="1311" w:type="dxa"/>
            <w:gridSpan w:val="2"/>
            <w:vAlign w:val="center"/>
          </w:tcPr>
          <w:p>
            <w:pPr>
              <w:ind w:firstLine="400" w:firstLineChars="200"/>
              <w:rPr>
                <w:rFonts w:ascii="Times New Roman" w:hAnsi="Times New Roman"/>
                <w:color w:val="auto"/>
                <w:sz w:val="20"/>
                <w:szCs w:val="22"/>
                <w:highlight w:val="none"/>
              </w:rPr>
            </w:pPr>
            <w:r>
              <w:rPr>
                <w:rFonts w:ascii="Times New Roman" w:hAnsi="Times New Roman"/>
                <w:color w:val="auto"/>
                <w:sz w:val="20"/>
                <w:szCs w:val="22"/>
                <w:highlight w:val="none"/>
              </w:rPr>
              <w:t>年   月</w:t>
            </w:r>
          </w:p>
        </w:tc>
        <w:tc>
          <w:tcPr>
            <w:tcW w:w="6355" w:type="dxa"/>
            <w:gridSpan w:val="4"/>
            <w:vAlign w:val="center"/>
          </w:tcPr>
          <w:p>
            <w:pPr>
              <w:rPr>
                <w:rFonts w:ascii="Times New Roman" w:hAnsi="Times New Roman"/>
                <w:color w:val="auto"/>
                <w:sz w:val="20"/>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12" w:hRule="atLeast"/>
        </w:trPr>
        <w:tc>
          <w:tcPr>
            <w:tcW w:w="1394" w:type="dxa"/>
            <w:vAlign w:val="center"/>
          </w:tcPr>
          <w:p>
            <w:pPr>
              <w:ind w:firstLine="420"/>
              <w:rPr>
                <w:rFonts w:ascii="Times New Roman" w:hAnsi="Times New Roman"/>
                <w:color w:val="auto"/>
                <w:sz w:val="20"/>
                <w:szCs w:val="22"/>
                <w:highlight w:val="none"/>
              </w:rPr>
            </w:pPr>
            <w:r>
              <w:rPr>
                <w:rFonts w:ascii="Times New Roman" w:hAnsi="Times New Roman"/>
                <w:color w:val="auto"/>
                <w:sz w:val="20"/>
                <w:szCs w:val="22"/>
                <w:highlight w:val="none"/>
              </w:rPr>
              <w:t>年   月</w:t>
            </w:r>
          </w:p>
        </w:tc>
        <w:tc>
          <w:tcPr>
            <w:tcW w:w="1311" w:type="dxa"/>
            <w:gridSpan w:val="2"/>
            <w:vAlign w:val="center"/>
          </w:tcPr>
          <w:p>
            <w:pPr>
              <w:ind w:firstLine="420"/>
              <w:rPr>
                <w:rFonts w:ascii="Times New Roman" w:hAnsi="Times New Roman"/>
                <w:color w:val="auto"/>
                <w:sz w:val="20"/>
                <w:szCs w:val="22"/>
                <w:highlight w:val="none"/>
              </w:rPr>
            </w:pPr>
            <w:r>
              <w:rPr>
                <w:rFonts w:ascii="Times New Roman" w:hAnsi="Times New Roman"/>
                <w:color w:val="auto"/>
                <w:sz w:val="20"/>
                <w:szCs w:val="22"/>
                <w:highlight w:val="none"/>
              </w:rPr>
              <w:t>年   月</w:t>
            </w:r>
          </w:p>
        </w:tc>
        <w:tc>
          <w:tcPr>
            <w:tcW w:w="6355" w:type="dxa"/>
            <w:gridSpan w:val="4"/>
            <w:vAlign w:val="center"/>
          </w:tcPr>
          <w:p>
            <w:pPr>
              <w:rPr>
                <w:rFonts w:ascii="Times New Roman" w:hAnsi="Times New Roman"/>
                <w:color w:val="auto"/>
                <w:sz w:val="20"/>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12" w:hRule="atLeast"/>
        </w:trPr>
        <w:tc>
          <w:tcPr>
            <w:tcW w:w="1394" w:type="dxa"/>
            <w:vAlign w:val="center"/>
          </w:tcPr>
          <w:p>
            <w:pPr>
              <w:ind w:firstLine="420"/>
              <w:rPr>
                <w:rFonts w:ascii="Times New Roman" w:hAnsi="Times New Roman"/>
                <w:color w:val="auto"/>
                <w:sz w:val="20"/>
                <w:szCs w:val="22"/>
                <w:highlight w:val="none"/>
              </w:rPr>
            </w:pPr>
            <w:r>
              <w:rPr>
                <w:rFonts w:ascii="Times New Roman" w:hAnsi="Times New Roman"/>
                <w:color w:val="auto"/>
                <w:sz w:val="20"/>
                <w:szCs w:val="22"/>
                <w:highlight w:val="none"/>
              </w:rPr>
              <w:t>年   月</w:t>
            </w:r>
          </w:p>
        </w:tc>
        <w:tc>
          <w:tcPr>
            <w:tcW w:w="1311" w:type="dxa"/>
            <w:gridSpan w:val="2"/>
            <w:vAlign w:val="center"/>
          </w:tcPr>
          <w:p>
            <w:pPr>
              <w:ind w:firstLine="420"/>
              <w:rPr>
                <w:rFonts w:ascii="Times New Roman" w:hAnsi="Times New Roman"/>
                <w:color w:val="auto"/>
                <w:sz w:val="20"/>
                <w:szCs w:val="22"/>
                <w:highlight w:val="none"/>
              </w:rPr>
            </w:pPr>
            <w:r>
              <w:rPr>
                <w:rFonts w:ascii="Times New Roman" w:hAnsi="Times New Roman"/>
                <w:color w:val="auto"/>
                <w:sz w:val="20"/>
                <w:szCs w:val="22"/>
                <w:highlight w:val="none"/>
              </w:rPr>
              <w:t>年   月</w:t>
            </w:r>
          </w:p>
        </w:tc>
        <w:tc>
          <w:tcPr>
            <w:tcW w:w="6355" w:type="dxa"/>
            <w:gridSpan w:val="4"/>
            <w:vAlign w:val="center"/>
          </w:tcPr>
          <w:p>
            <w:pPr>
              <w:rPr>
                <w:rFonts w:ascii="Times New Roman" w:hAnsi="Times New Roman"/>
                <w:color w:val="auto"/>
                <w:sz w:val="20"/>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40" w:hRule="atLeast"/>
        </w:trPr>
        <w:tc>
          <w:tcPr>
            <w:tcW w:w="1394" w:type="dxa"/>
            <w:vAlign w:val="center"/>
          </w:tcPr>
          <w:p>
            <w:pPr>
              <w:ind w:firstLine="420"/>
              <w:rPr>
                <w:rFonts w:ascii="Times New Roman" w:hAnsi="Times New Roman"/>
                <w:color w:val="auto"/>
                <w:sz w:val="22"/>
                <w:szCs w:val="22"/>
                <w:highlight w:val="none"/>
              </w:rPr>
            </w:pPr>
            <w:r>
              <w:rPr>
                <w:rFonts w:ascii="Times New Roman" w:hAnsi="Times New Roman"/>
                <w:color w:val="auto"/>
                <w:sz w:val="22"/>
                <w:szCs w:val="22"/>
                <w:highlight w:val="none"/>
              </w:rPr>
              <w:t>…</w:t>
            </w:r>
          </w:p>
        </w:tc>
        <w:tc>
          <w:tcPr>
            <w:tcW w:w="1311" w:type="dxa"/>
            <w:gridSpan w:val="2"/>
            <w:vAlign w:val="center"/>
          </w:tcPr>
          <w:p>
            <w:pPr>
              <w:ind w:firstLine="420"/>
              <w:rPr>
                <w:rFonts w:ascii="Times New Roman" w:hAnsi="Times New Roman"/>
                <w:color w:val="auto"/>
                <w:sz w:val="22"/>
                <w:szCs w:val="22"/>
                <w:highlight w:val="none"/>
              </w:rPr>
            </w:pPr>
            <w:r>
              <w:rPr>
                <w:rFonts w:ascii="Times New Roman" w:hAnsi="Times New Roman"/>
                <w:color w:val="auto"/>
                <w:sz w:val="22"/>
                <w:szCs w:val="22"/>
                <w:highlight w:val="none"/>
              </w:rPr>
              <w:t>…</w:t>
            </w:r>
          </w:p>
        </w:tc>
        <w:tc>
          <w:tcPr>
            <w:tcW w:w="6355" w:type="dxa"/>
            <w:gridSpan w:val="4"/>
            <w:vAlign w:val="center"/>
          </w:tcPr>
          <w:p>
            <w:pPr>
              <w:pStyle w:val="8"/>
              <w:widowControl/>
              <w:adjustRightInd/>
              <w:spacing w:line="240" w:lineRule="auto"/>
              <w:textAlignment w:val="auto"/>
              <w:rPr>
                <w:rFonts w:ascii="Times New Roman" w:hAnsi="Times New Roman"/>
                <w:color w:val="auto"/>
                <w:sz w:val="22"/>
                <w:szCs w:val="18"/>
                <w:highlight w:val="none"/>
              </w:rPr>
            </w:pPr>
          </w:p>
        </w:tc>
      </w:tr>
    </w:tbl>
    <w:p>
      <w:pPr>
        <w:tabs>
          <w:tab w:val="left" w:pos="900"/>
          <w:tab w:val="left" w:pos="1440"/>
        </w:tabs>
        <w:spacing w:before="100" w:line="360" w:lineRule="exact"/>
        <w:ind w:firstLine="442" w:firstLineChars="200"/>
        <w:rPr>
          <w:rFonts w:ascii="Times New Roman" w:hAnsi="Times New Roman" w:eastAsia="楷体_GB2312"/>
          <w:b/>
          <w:color w:val="auto"/>
          <w:sz w:val="22"/>
          <w:szCs w:val="22"/>
          <w:highlight w:val="none"/>
        </w:rPr>
      </w:pPr>
      <w:r>
        <w:rPr>
          <w:rFonts w:ascii="Times New Roman" w:hAnsi="Times New Roman" w:eastAsia="楷体_GB2312"/>
          <w:b/>
          <w:color w:val="auto"/>
          <w:sz w:val="22"/>
          <w:szCs w:val="22"/>
          <w:highlight w:val="none"/>
        </w:rPr>
        <w:t>注：所有拟派驻本项目的现场监理部人员必须每人一表，表后应附有相应岗位的资格证书（或执业资格证书或培训合格证书）、有效身份证的复印件，同时应附其曾承担的类似工程经验证明文件（以中标通知书、监理合同、监理业务手册为准）的复印件。其中总监理工程师的简历表后还应附总监理工程师业绩中获奖项目的证明文件、提供由劳动保障部门出具的近一年内连续六个月的投标人为其缴纳社会养老保险的证明材料（仅总监理工程师提供）的复印件（证明文件要求详见评标办法相关规定）</w:t>
      </w:r>
    </w:p>
    <w:p>
      <w:pPr>
        <w:pStyle w:val="6"/>
        <w:rPr>
          <w:rFonts w:ascii="Times New Roman" w:hAnsi="Times New Roman" w:eastAsia="宋体"/>
          <w:b w:val="0"/>
          <w:bCs w:val="0"/>
          <w:color w:val="auto"/>
          <w:sz w:val="22"/>
          <w:szCs w:val="28"/>
          <w:highlight w:val="none"/>
        </w:rPr>
      </w:pPr>
      <w:r>
        <w:rPr>
          <w:rFonts w:ascii="Times New Roman" w:hAnsi="Times New Roman" w:eastAsia="宋体"/>
          <w:b w:val="0"/>
          <w:bCs w:val="0"/>
          <w:color w:val="auto"/>
          <w:sz w:val="22"/>
          <w:szCs w:val="28"/>
          <w:highlight w:val="none"/>
        </w:rPr>
        <w:br w:type="page"/>
      </w:r>
      <w:bookmarkStart w:id="148" w:name="_Toc9780"/>
      <w:bookmarkStart w:id="149" w:name="_Toc405313187"/>
      <w:bookmarkStart w:id="150" w:name="_Toc25056"/>
      <w:bookmarkStart w:id="151" w:name="_Toc509841414"/>
      <w:r>
        <w:rPr>
          <w:rFonts w:ascii="Times New Roman" w:hAnsi="Times New Roman" w:eastAsia="宋体"/>
          <w:b w:val="0"/>
          <w:bCs w:val="0"/>
          <w:color w:val="auto"/>
          <w:sz w:val="22"/>
          <w:szCs w:val="28"/>
          <w:highlight w:val="none"/>
        </w:rPr>
        <w:t>格式八：</w:t>
      </w:r>
      <w:bookmarkEnd w:id="148"/>
      <w:bookmarkEnd w:id="149"/>
      <w:bookmarkEnd w:id="150"/>
      <w:bookmarkEnd w:id="151"/>
    </w:p>
    <w:p>
      <w:pPr>
        <w:tabs>
          <w:tab w:val="left" w:pos="0"/>
          <w:tab w:val="left" w:pos="1440"/>
        </w:tabs>
        <w:spacing w:line="380" w:lineRule="exact"/>
        <w:ind w:right="25" w:rightChars="12"/>
        <w:jc w:val="center"/>
        <w:rPr>
          <w:rFonts w:ascii="Times New Roman" w:hAnsi="Times New Roman"/>
          <w:b/>
          <w:bCs/>
          <w:color w:val="auto"/>
          <w:sz w:val="28"/>
          <w:szCs w:val="22"/>
          <w:highlight w:val="none"/>
        </w:rPr>
      </w:pPr>
      <w:r>
        <w:rPr>
          <w:rFonts w:ascii="Times New Roman" w:hAnsi="Times New Roman"/>
          <w:b/>
          <w:bCs/>
          <w:color w:val="auto"/>
          <w:sz w:val="28"/>
          <w:szCs w:val="22"/>
          <w:highlight w:val="none"/>
        </w:rPr>
        <w:t>拟投入本项目的技术装备（含检测设备、仪器）一览表</w:t>
      </w:r>
    </w:p>
    <w:p>
      <w:pPr>
        <w:tabs>
          <w:tab w:val="left" w:pos="0"/>
          <w:tab w:val="left" w:pos="1440"/>
        </w:tabs>
        <w:spacing w:line="380" w:lineRule="exact"/>
        <w:ind w:right="25" w:rightChars="12"/>
        <w:jc w:val="center"/>
        <w:rPr>
          <w:rFonts w:ascii="Times New Roman" w:hAnsi="Times New Roman" w:eastAsia="仿宋_GB2312"/>
          <w:b/>
          <w:color w:val="auto"/>
          <w:sz w:val="32"/>
          <w:szCs w:val="22"/>
          <w:highlight w:val="none"/>
        </w:rPr>
      </w:pPr>
    </w:p>
    <w:tbl>
      <w:tblPr>
        <w:tblStyle w:val="18"/>
        <w:tblW w:w="90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472"/>
        <w:gridCol w:w="1712"/>
        <w:gridCol w:w="942"/>
        <w:gridCol w:w="1502"/>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vAlign w:val="center"/>
          </w:tcPr>
          <w:p>
            <w:pPr>
              <w:jc w:val="center"/>
              <w:rPr>
                <w:rFonts w:ascii="Times New Roman" w:hAnsi="Times New Roman"/>
                <w:color w:val="auto"/>
                <w:sz w:val="22"/>
                <w:szCs w:val="22"/>
                <w:highlight w:val="none"/>
              </w:rPr>
            </w:pPr>
            <w:r>
              <w:rPr>
                <w:rFonts w:ascii="Times New Roman" w:hAnsi="Times New Roman"/>
                <w:color w:val="auto"/>
                <w:sz w:val="22"/>
                <w:szCs w:val="22"/>
                <w:highlight w:val="none"/>
              </w:rPr>
              <w:t>序号</w:t>
            </w:r>
          </w:p>
        </w:tc>
        <w:tc>
          <w:tcPr>
            <w:tcW w:w="2472" w:type="dxa"/>
            <w:vAlign w:val="center"/>
          </w:tcPr>
          <w:p>
            <w:pPr>
              <w:jc w:val="center"/>
              <w:rPr>
                <w:rFonts w:ascii="Times New Roman" w:hAnsi="Times New Roman"/>
                <w:color w:val="auto"/>
                <w:sz w:val="22"/>
                <w:szCs w:val="22"/>
                <w:highlight w:val="none"/>
              </w:rPr>
            </w:pPr>
            <w:r>
              <w:rPr>
                <w:rFonts w:ascii="Times New Roman" w:hAnsi="Times New Roman"/>
                <w:color w:val="auto"/>
                <w:sz w:val="22"/>
                <w:szCs w:val="22"/>
                <w:highlight w:val="none"/>
              </w:rPr>
              <w:t>设备或仪器名称</w:t>
            </w:r>
          </w:p>
        </w:tc>
        <w:tc>
          <w:tcPr>
            <w:tcW w:w="1712" w:type="dxa"/>
            <w:vAlign w:val="center"/>
          </w:tcPr>
          <w:p>
            <w:pPr>
              <w:jc w:val="center"/>
              <w:rPr>
                <w:rFonts w:ascii="Times New Roman" w:hAnsi="Times New Roman"/>
                <w:color w:val="auto"/>
                <w:sz w:val="22"/>
                <w:szCs w:val="22"/>
                <w:highlight w:val="none"/>
              </w:rPr>
            </w:pPr>
            <w:r>
              <w:rPr>
                <w:rFonts w:ascii="Times New Roman" w:hAnsi="Times New Roman"/>
                <w:color w:val="auto"/>
                <w:sz w:val="22"/>
                <w:szCs w:val="22"/>
                <w:highlight w:val="none"/>
              </w:rPr>
              <w:t>型号规格</w:t>
            </w:r>
          </w:p>
        </w:tc>
        <w:tc>
          <w:tcPr>
            <w:tcW w:w="942" w:type="dxa"/>
            <w:vAlign w:val="center"/>
          </w:tcPr>
          <w:p>
            <w:pPr>
              <w:jc w:val="center"/>
              <w:rPr>
                <w:rFonts w:ascii="Times New Roman" w:hAnsi="Times New Roman"/>
                <w:color w:val="auto"/>
                <w:sz w:val="22"/>
                <w:szCs w:val="22"/>
                <w:highlight w:val="none"/>
              </w:rPr>
            </w:pPr>
            <w:r>
              <w:rPr>
                <w:rFonts w:ascii="Times New Roman" w:hAnsi="Times New Roman"/>
                <w:color w:val="auto"/>
                <w:sz w:val="22"/>
                <w:szCs w:val="22"/>
                <w:highlight w:val="none"/>
              </w:rPr>
              <w:t>数量</w:t>
            </w:r>
          </w:p>
        </w:tc>
        <w:tc>
          <w:tcPr>
            <w:tcW w:w="1502" w:type="dxa"/>
            <w:vAlign w:val="center"/>
          </w:tcPr>
          <w:p>
            <w:pPr>
              <w:jc w:val="center"/>
              <w:rPr>
                <w:rFonts w:ascii="Times New Roman" w:hAnsi="Times New Roman"/>
                <w:color w:val="auto"/>
                <w:sz w:val="22"/>
                <w:szCs w:val="22"/>
                <w:highlight w:val="none"/>
              </w:rPr>
            </w:pPr>
            <w:r>
              <w:rPr>
                <w:rFonts w:ascii="Times New Roman" w:hAnsi="Times New Roman"/>
                <w:color w:val="auto"/>
                <w:sz w:val="22"/>
                <w:szCs w:val="22"/>
                <w:highlight w:val="none"/>
              </w:rPr>
              <w:t>国别产地</w:t>
            </w:r>
          </w:p>
        </w:tc>
        <w:tc>
          <w:tcPr>
            <w:tcW w:w="1502" w:type="dxa"/>
            <w:vAlign w:val="center"/>
          </w:tcPr>
          <w:p>
            <w:pPr>
              <w:jc w:val="center"/>
              <w:rPr>
                <w:rFonts w:ascii="Times New Roman" w:hAnsi="Times New Roman"/>
                <w:color w:val="auto"/>
                <w:sz w:val="22"/>
                <w:szCs w:val="22"/>
                <w:highlight w:val="none"/>
              </w:rPr>
            </w:pPr>
            <w:r>
              <w:rPr>
                <w:rFonts w:ascii="Times New Roman" w:hAnsi="Times New Roman"/>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r>
              <w:rPr>
                <w:rFonts w:ascii="Times New Roman" w:hAnsi="Times New Roman"/>
                <w:color w:val="auto"/>
                <w:sz w:val="20"/>
                <w:szCs w:val="22"/>
                <w:highlight w:val="none"/>
              </w:rPr>
              <w:t>……</w:t>
            </w: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874" w:type="dxa"/>
          </w:tcPr>
          <w:p>
            <w:pPr>
              <w:jc w:val="center"/>
              <w:rPr>
                <w:rFonts w:ascii="Times New Roman" w:hAnsi="Times New Roman"/>
                <w:color w:val="auto"/>
                <w:sz w:val="24"/>
                <w:szCs w:val="22"/>
                <w:highlight w:val="none"/>
              </w:rPr>
            </w:pPr>
          </w:p>
        </w:tc>
        <w:tc>
          <w:tcPr>
            <w:tcW w:w="2472" w:type="dxa"/>
          </w:tcPr>
          <w:p>
            <w:pPr>
              <w:jc w:val="center"/>
              <w:rPr>
                <w:rFonts w:ascii="Times New Roman" w:hAnsi="Times New Roman"/>
                <w:color w:val="auto"/>
                <w:sz w:val="24"/>
                <w:szCs w:val="22"/>
                <w:highlight w:val="none"/>
              </w:rPr>
            </w:pPr>
          </w:p>
        </w:tc>
        <w:tc>
          <w:tcPr>
            <w:tcW w:w="1712" w:type="dxa"/>
          </w:tcPr>
          <w:p>
            <w:pPr>
              <w:jc w:val="center"/>
              <w:rPr>
                <w:rFonts w:ascii="Times New Roman" w:hAnsi="Times New Roman"/>
                <w:color w:val="auto"/>
                <w:sz w:val="24"/>
                <w:szCs w:val="22"/>
                <w:highlight w:val="none"/>
              </w:rPr>
            </w:pPr>
          </w:p>
        </w:tc>
        <w:tc>
          <w:tcPr>
            <w:tcW w:w="94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c>
          <w:tcPr>
            <w:tcW w:w="1502" w:type="dxa"/>
          </w:tcPr>
          <w:p>
            <w:pPr>
              <w:jc w:val="center"/>
              <w:rPr>
                <w:rFonts w:ascii="Times New Roman" w:hAnsi="Times New Roman"/>
                <w:color w:val="auto"/>
                <w:sz w:val="24"/>
                <w:szCs w:val="22"/>
                <w:highlight w:val="none"/>
              </w:rPr>
            </w:pPr>
          </w:p>
        </w:tc>
      </w:tr>
    </w:tbl>
    <w:p>
      <w:pPr>
        <w:rPr>
          <w:rFonts w:ascii="Times New Roman" w:hAnsi="Times New Roman"/>
          <w:color w:val="auto"/>
          <w:sz w:val="20"/>
          <w:szCs w:val="22"/>
          <w:highlight w:val="none"/>
        </w:rPr>
      </w:pPr>
    </w:p>
    <w:p>
      <w:pPr>
        <w:rPr>
          <w:rFonts w:ascii="Times New Roman" w:hAnsi="Times New Roman"/>
          <w:color w:val="auto"/>
          <w:sz w:val="20"/>
          <w:szCs w:val="22"/>
          <w:highlight w:val="none"/>
        </w:rPr>
      </w:pPr>
    </w:p>
    <w:p>
      <w:pPr>
        <w:rPr>
          <w:rFonts w:ascii="Times New Roman" w:hAnsi="Times New Roman"/>
          <w:color w:val="auto"/>
          <w:sz w:val="20"/>
          <w:szCs w:val="22"/>
          <w:highlight w:val="none"/>
        </w:rPr>
      </w:pPr>
    </w:p>
    <w:p>
      <w:pPr>
        <w:pStyle w:val="6"/>
        <w:rPr>
          <w:rFonts w:ascii="Times New Roman" w:hAnsi="Times New Roman" w:eastAsia="宋体"/>
          <w:b w:val="0"/>
          <w:bCs w:val="0"/>
          <w:color w:val="auto"/>
          <w:sz w:val="22"/>
          <w:szCs w:val="28"/>
          <w:highlight w:val="none"/>
        </w:rPr>
      </w:pPr>
      <w:r>
        <w:rPr>
          <w:rFonts w:ascii="Times New Roman" w:hAnsi="Times New Roman" w:eastAsia="宋体"/>
          <w:b w:val="0"/>
          <w:bCs w:val="0"/>
          <w:color w:val="auto"/>
          <w:sz w:val="22"/>
          <w:szCs w:val="28"/>
          <w:highlight w:val="none"/>
        </w:rPr>
        <w:br w:type="page"/>
      </w:r>
      <w:bookmarkStart w:id="152" w:name="_Toc509841415"/>
      <w:bookmarkStart w:id="153" w:name="_Toc4378"/>
      <w:bookmarkStart w:id="154" w:name="_Toc5158"/>
      <w:bookmarkStart w:id="155" w:name="_Toc405313188"/>
      <w:r>
        <w:rPr>
          <w:rFonts w:ascii="Times New Roman" w:hAnsi="Times New Roman" w:eastAsia="宋体"/>
          <w:b w:val="0"/>
          <w:bCs w:val="0"/>
          <w:color w:val="auto"/>
          <w:sz w:val="22"/>
          <w:szCs w:val="28"/>
          <w:highlight w:val="none"/>
        </w:rPr>
        <w:t>格式九：</w:t>
      </w:r>
      <w:bookmarkEnd w:id="152"/>
      <w:bookmarkEnd w:id="153"/>
      <w:bookmarkEnd w:id="154"/>
      <w:bookmarkEnd w:id="155"/>
    </w:p>
    <w:p>
      <w:pPr>
        <w:tabs>
          <w:tab w:val="left" w:pos="0"/>
          <w:tab w:val="left" w:pos="1440"/>
        </w:tabs>
        <w:spacing w:line="380" w:lineRule="exact"/>
        <w:ind w:right="25" w:rightChars="12"/>
        <w:jc w:val="center"/>
        <w:rPr>
          <w:rFonts w:ascii="Times New Roman" w:hAnsi="Times New Roman"/>
          <w:b/>
          <w:bCs/>
          <w:color w:val="auto"/>
          <w:sz w:val="28"/>
          <w:szCs w:val="22"/>
          <w:highlight w:val="none"/>
        </w:rPr>
      </w:pPr>
      <w:r>
        <w:rPr>
          <w:rFonts w:ascii="Times New Roman" w:hAnsi="Times New Roman"/>
          <w:b/>
          <w:bCs/>
          <w:color w:val="auto"/>
          <w:sz w:val="28"/>
          <w:szCs w:val="22"/>
          <w:highlight w:val="none"/>
        </w:rPr>
        <w:t>投标单位企业概况</w:t>
      </w:r>
    </w:p>
    <w:p>
      <w:pPr>
        <w:tabs>
          <w:tab w:val="left" w:pos="0"/>
          <w:tab w:val="left" w:pos="1440"/>
        </w:tabs>
        <w:spacing w:line="380" w:lineRule="exact"/>
        <w:ind w:right="25" w:rightChars="12"/>
        <w:jc w:val="center"/>
        <w:rPr>
          <w:rFonts w:ascii="Times New Roman" w:hAnsi="Times New Roman"/>
          <w:b/>
          <w:bCs/>
          <w:color w:val="auto"/>
          <w:sz w:val="28"/>
          <w:szCs w:val="22"/>
          <w:highlight w:val="none"/>
        </w:rPr>
      </w:pPr>
    </w:p>
    <w:tbl>
      <w:tblPr>
        <w:tblStyle w:val="18"/>
        <w:tblW w:w="89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393"/>
        <w:gridCol w:w="443"/>
        <w:gridCol w:w="1081"/>
        <w:gridCol w:w="1524"/>
        <w:gridCol w:w="230"/>
        <w:gridCol w:w="1463"/>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企业名称</w:t>
            </w:r>
          </w:p>
        </w:tc>
        <w:tc>
          <w:tcPr>
            <w:tcW w:w="4671" w:type="dxa"/>
            <w:gridSpan w:val="5"/>
            <w:vAlign w:val="center"/>
          </w:tcPr>
          <w:p>
            <w:pPr>
              <w:tabs>
                <w:tab w:val="left" w:pos="900"/>
                <w:tab w:val="left" w:pos="1440"/>
              </w:tabs>
              <w:jc w:val="right"/>
              <w:rPr>
                <w:rFonts w:ascii="Times New Roman" w:hAnsi="Times New Roman"/>
                <w:color w:val="auto"/>
                <w:sz w:val="20"/>
                <w:szCs w:val="22"/>
                <w:highlight w:val="none"/>
              </w:rPr>
            </w:pPr>
          </w:p>
        </w:tc>
        <w:tc>
          <w:tcPr>
            <w:tcW w:w="1463" w:type="dxa"/>
            <w:vAlign w:val="center"/>
          </w:tcPr>
          <w:p>
            <w:pPr>
              <w:tabs>
                <w:tab w:val="left" w:pos="900"/>
                <w:tab w:val="left" w:pos="1440"/>
              </w:tabs>
              <w:ind w:left="-4" w:leftChars="-2" w:firstLine="70" w:firstLineChars="35"/>
              <w:jc w:val="center"/>
              <w:rPr>
                <w:rFonts w:ascii="Times New Roman" w:hAnsi="Times New Roman"/>
                <w:color w:val="auto"/>
                <w:sz w:val="20"/>
                <w:szCs w:val="22"/>
                <w:highlight w:val="none"/>
              </w:rPr>
            </w:pPr>
            <w:r>
              <w:rPr>
                <w:rFonts w:ascii="Times New Roman" w:hAnsi="Times New Roman"/>
                <w:color w:val="auto"/>
                <w:sz w:val="20"/>
                <w:szCs w:val="22"/>
                <w:highlight w:val="none"/>
              </w:rPr>
              <w:t>成立日期</w:t>
            </w: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专业类别及资质等级</w:t>
            </w:r>
          </w:p>
        </w:tc>
        <w:tc>
          <w:tcPr>
            <w:tcW w:w="1836" w:type="dxa"/>
            <w:gridSpan w:val="2"/>
            <w:vAlign w:val="center"/>
          </w:tcPr>
          <w:p>
            <w:pPr>
              <w:tabs>
                <w:tab w:val="left" w:pos="900"/>
                <w:tab w:val="left" w:pos="1440"/>
              </w:tabs>
              <w:ind w:left="-5" w:leftChars="-50" w:hanging="100" w:hangingChars="50"/>
              <w:jc w:val="center"/>
              <w:rPr>
                <w:rFonts w:ascii="Times New Roman" w:hAnsi="Times New Roman"/>
                <w:color w:val="auto"/>
                <w:sz w:val="20"/>
                <w:szCs w:val="22"/>
                <w:highlight w:val="none"/>
              </w:rPr>
            </w:pPr>
          </w:p>
        </w:tc>
        <w:tc>
          <w:tcPr>
            <w:tcW w:w="1081"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经营方式</w:t>
            </w:r>
          </w:p>
        </w:tc>
        <w:tc>
          <w:tcPr>
            <w:tcW w:w="175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463"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企业性质</w:t>
            </w: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批准单位</w:t>
            </w:r>
          </w:p>
        </w:tc>
        <w:tc>
          <w:tcPr>
            <w:tcW w:w="1836" w:type="dxa"/>
            <w:gridSpan w:val="2"/>
            <w:vAlign w:val="center"/>
          </w:tcPr>
          <w:p>
            <w:pPr>
              <w:tabs>
                <w:tab w:val="left" w:pos="900"/>
                <w:tab w:val="left" w:pos="1440"/>
              </w:tabs>
              <w:ind w:left="-107" w:leftChars="-51" w:firstLine="170" w:firstLineChars="85"/>
              <w:jc w:val="center"/>
              <w:rPr>
                <w:rFonts w:ascii="Times New Roman" w:hAnsi="Times New Roman"/>
                <w:color w:val="auto"/>
                <w:sz w:val="20"/>
                <w:szCs w:val="22"/>
                <w:highlight w:val="none"/>
              </w:rPr>
            </w:pPr>
          </w:p>
        </w:tc>
        <w:tc>
          <w:tcPr>
            <w:tcW w:w="1081"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地址</w:t>
            </w:r>
          </w:p>
        </w:tc>
        <w:tc>
          <w:tcPr>
            <w:tcW w:w="4736" w:type="dxa"/>
            <w:gridSpan w:val="4"/>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Merge w:val="restart"/>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企业</w:t>
            </w:r>
          </w:p>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职工</w:t>
            </w:r>
          </w:p>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简价</w:t>
            </w:r>
          </w:p>
        </w:tc>
        <w:tc>
          <w:tcPr>
            <w:tcW w:w="1393" w:type="dxa"/>
            <w:vMerge w:val="restart"/>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职工总数</w:t>
            </w:r>
          </w:p>
          <w:p>
            <w:pPr>
              <w:tabs>
                <w:tab w:val="left" w:pos="900"/>
                <w:tab w:val="left" w:pos="1440"/>
              </w:tabs>
              <w:ind w:firstLine="200" w:firstLineChars="100"/>
              <w:rPr>
                <w:rFonts w:ascii="Times New Roman" w:hAnsi="Times New Roman"/>
                <w:color w:val="auto"/>
                <w:sz w:val="20"/>
                <w:szCs w:val="22"/>
                <w:highlight w:val="none"/>
              </w:rPr>
            </w:pPr>
            <w:r>
              <w:rPr>
                <w:rFonts w:ascii="Times New Roman" w:hAnsi="Times New Roman"/>
                <w:color w:val="auto"/>
                <w:sz w:val="20"/>
                <w:szCs w:val="22"/>
                <w:highlight w:val="none"/>
                <w:u w:val="single"/>
              </w:rPr>
              <w:t xml:space="preserve">     </w:t>
            </w:r>
            <w:r>
              <w:rPr>
                <w:rFonts w:ascii="Times New Roman" w:hAnsi="Times New Roman"/>
                <w:color w:val="auto"/>
                <w:sz w:val="20"/>
                <w:szCs w:val="22"/>
                <w:highlight w:val="none"/>
              </w:rPr>
              <w:t>人</w:t>
            </w:r>
          </w:p>
        </w:tc>
        <w:tc>
          <w:tcPr>
            <w:tcW w:w="6260" w:type="dxa"/>
            <w:gridSpan w:val="6"/>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有职称管理人员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Merge w:val="restart"/>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总数</w:t>
            </w:r>
          </w:p>
        </w:tc>
        <w:tc>
          <w:tcPr>
            <w:tcW w:w="1524" w:type="dxa"/>
            <w:vMerge w:val="restart"/>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高级</w:t>
            </w:r>
          </w:p>
        </w:tc>
        <w:tc>
          <w:tcPr>
            <w:tcW w:w="1693" w:type="dxa"/>
            <w:gridSpan w:val="2"/>
            <w:vMerge w:val="restart"/>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中级</w:t>
            </w:r>
          </w:p>
        </w:tc>
        <w:tc>
          <w:tcPr>
            <w:tcW w:w="1519" w:type="dxa"/>
            <w:vMerge w:val="restart"/>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初级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Merge w:val="continue"/>
            <w:vAlign w:val="center"/>
          </w:tcPr>
          <w:p>
            <w:pPr>
              <w:tabs>
                <w:tab w:val="left" w:pos="900"/>
                <w:tab w:val="left" w:pos="1440"/>
              </w:tabs>
              <w:jc w:val="center"/>
              <w:rPr>
                <w:rFonts w:ascii="Times New Roman" w:hAnsi="Times New Roman"/>
                <w:color w:val="auto"/>
                <w:sz w:val="20"/>
                <w:szCs w:val="22"/>
                <w:highlight w:val="none"/>
              </w:rPr>
            </w:pPr>
          </w:p>
        </w:tc>
        <w:tc>
          <w:tcPr>
            <w:tcW w:w="152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Merge w:val="continue"/>
            <w:vAlign w:val="center"/>
          </w:tcPr>
          <w:p>
            <w:pPr>
              <w:tabs>
                <w:tab w:val="left" w:pos="900"/>
                <w:tab w:val="left" w:pos="1440"/>
              </w:tabs>
              <w:jc w:val="center"/>
              <w:rPr>
                <w:rFonts w:ascii="Times New Roman" w:hAnsi="Times New Roman"/>
                <w:color w:val="auto"/>
                <w:sz w:val="20"/>
                <w:szCs w:val="22"/>
                <w:highlight w:val="none"/>
              </w:rPr>
            </w:pPr>
          </w:p>
        </w:tc>
        <w:tc>
          <w:tcPr>
            <w:tcW w:w="1519" w:type="dxa"/>
            <w:vMerge w:val="continue"/>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24" w:type="dxa"/>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占职工总数比例</w:t>
            </w:r>
          </w:p>
        </w:tc>
        <w:tc>
          <w:tcPr>
            <w:tcW w:w="1524"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u w:val="single"/>
              </w:rPr>
              <w:t xml:space="preserve">   </w:t>
            </w:r>
            <w:r>
              <w:rPr>
                <w:rFonts w:ascii="Times New Roman" w:hAnsi="Times New Roman"/>
                <w:color w:val="auto"/>
                <w:sz w:val="20"/>
                <w:szCs w:val="22"/>
                <w:highlight w:val="none"/>
              </w:rPr>
              <w:t>%</w:t>
            </w: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u w:val="single"/>
              </w:rPr>
              <w:t xml:space="preserve">   </w:t>
            </w:r>
            <w:r>
              <w:rPr>
                <w:rFonts w:ascii="Times New Roman" w:hAnsi="Times New Roman"/>
                <w:color w:val="auto"/>
                <w:sz w:val="20"/>
                <w:szCs w:val="22"/>
                <w:highlight w:val="none"/>
              </w:rPr>
              <w:t>%</w:t>
            </w:r>
          </w:p>
        </w:tc>
        <w:tc>
          <w:tcPr>
            <w:tcW w:w="1519"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u w:val="single"/>
              </w:rPr>
              <w:t xml:space="preserve">   </w:t>
            </w:r>
            <w:r>
              <w:rPr>
                <w:rFonts w:ascii="Times New Roman" w:hAnsi="Times New Roman"/>
                <w:color w:val="auto"/>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Merge w:val="restart"/>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执业人员</w:t>
            </w:r>
          </w:p>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简介</w:t>
            </w:r>
          </w:p>
        </w:tc>
        <w:tc>
          <w:tcPr>
            <w:tcW w:w="1393"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证书批准机构</w:t>
            </w: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专业</w:t>
            </w:r>
          </w:p>
        </w:tc>
        <w:tc>
          <w:tcPr>
            <w:tcW w:w="1524"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人数</w:t>
            </w: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占职工总数的</w:t>
            </w:r>
          </w:p>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比例（%）</w:t>
            </w:r>
          </w:p>
        </w:tc>
        <w:tc>
          <w:tcPr>
            <w:tcW w:w="1519"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平均年龄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24" w:type="dxa"/>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24" w:type="dxa"/>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24" w:type="dxa"/>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w:t>
            </w: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24" w:type="dxa"/>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8" w:hRule="atLeast"/>
          <w:jc w:val="center"/>
        </w:trPr>
        <w:tc>
          <w:tcPr>
            <w:tcW w:w="1314" w:type="dxa"/>
            <w:vMerge w:val="restart"/>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监理设备</w:t>
            </w:r>
          </w:p>
        </w:tc>
        <w:tc>
          <w:tcPr>
            <w:tcW w:w="1393"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设备或仪器名称</w:t>
            </w:r>
          </w:p>
        </w:tc>
        <w:tc>
          <w:tcPr>
            <w:tcW w:w="1524" w:type="dxa"/>
            <w:gridSpan w:val="2"/>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型号规格</w:t>
            </w:r>
          </w:p>
        </w:tc>
        <w:tc>
          <w:tcPr>
            <w:tcW w:w="1524"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数量</w:t>
            </w:r>
          </w:p>
        </w:tc>
        <w:tc>
          <w:tcPr>
            <w:tcW w:w="1693" w:type="dxa"/>
            <w:gridSpan w:val="2"/>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国别产地</w:t>
            </w:r>
          </w:p>
        </w:tc>
        <w:tc>
          <w:tcPr>
            <w:tcW w:w="1519"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8"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24" w:type="dxa"/>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8"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24" w:type="dxa"/>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8"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24" w:type="dxa"/>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8"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24" w:type="dxa"/>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8"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Align w:val="center"/>
          </w:tcPr>
          <w:p>
            <w:pPr>
              <w:tabs>
                <w:tab w:val="left" w:pos="900"/>
                <w:tab w:val="left" w:pos="1440"/>
              </w:tabs>
              <w:jc w:val="center"/>
              <w:rPr>
                <w:rFonts w:ascii="Times New Roman" w:hAnsi="Times New Roman"/>
                <w:color w:val="auto"/>
                <w:sz w:val="20"/>
                <w:szCs w:val="22"/>
                <w:highlight w:val="none"/>
              </w:rPr>
            </w:pP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24" w:type="dxa"/>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8" w:hRule="atLeast"/>
          <w:jc w:val="center"/>
        </w:trPr>
        <w:tc>
          <w:tcPr>
            <w:tcW w:w="1314" w:type="dxa"/>
            <w:vMerge w:val="continue"/>
            <w:vAlign w:val="center"/>
          </w:tcPr>
          <w:p>
            <w:pPr>
              <w:tabs>
                <w:tab w:val="left" w:pos="900"/>
                <w:tab w:val="left" w:pos="1440"/>
              </w:tabs>
              <w:jc w:val="center"/>
              <w:rPr>
                <w:rFonts w:ascii="Times New Roman" w:hAnsi="Times New Roman"/>
                <w:color w:val="auto"/>
                <w:sz w:val="20"/>
                <w:szCs w:val="22"/>
                <w:highlight w:val="none"/>
              </w:rPr>
            </w:pPr>
          </w:p>
        </w:tc>
        <w:tc>
          <w:tcPr>
            <w:tcW w:w="1393" w:type="dxa"/>
            <w:vAlign w:val="center"/>
          </w:tcPr>
          <w:p>
            <w:pPr>
              <w:tabs>
                <w:tab w:val="left" w:pos="900"/>
                <w:tab w:val="left" w:pos="1440"/>
              </w:tabs>
              <w:jc w:val="center"/>
              <w:rPr>
                <w:rFonts w:ascii="Times New Roman" w:hAnsi="Times New Roman"/>
                <w:color w:val="auto"/>
                <w:sz w:val="20"/>
                <w:szCs w:val="22"/>
                <w:highlight w:val="none"/>
              </w:rPr>
            </w:pPr>
            <w:r>
              <w:rPr>
                <w:rFonts w:ascii="Times New Roman" w:hAnsi="Times New Roman"/>
                <w:color w:val="auto"/>
                <w:sz w:val="20"/>
                <w:szCs w:val="22"/>
                <w:highlight w:val="none"/>
              </w:rPr>
              <w:t>……</w:t>
            </w:r>
          </w:p>
        </w:tc>
        <w:tc>
          <w:tcPr>
            <w:tcW w:w="1524"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24" w:type="dxa"/>
            <w:vAlign w:val="center"/>
          </w:tcPr>
          <w:p>
            <w:pPr>
              <w:tabs>
                <w:tab w:val="left" w:pos="900"/>
                <w:tab w:val="left" w:pos="1440"/>
              </w:tabs>
              <w:jc w:val="center"/>
              <w:rPr>
                <w:rFonts w:ascii="Times New Roman" w:hAnsi="Times New Roman"/>
                <w:color w:val="auto"/>
                <w:sz w:val="20"/>
                <w:szCs w:val="22"/>
                <w:highlight w:val="none"/>
              </w:rPr>
            </w:pPr>
          </w:p>
        </w:tc>
        <w:tc>
          <w:tcPr>
            <w:tcW w:w="1693" w:type="dxa"/>
            <w:gridSpan w:val="2"/>
            <w:vAlign w:val="center"/>
          </w:tcPr>
          <w:p>
            <w:pPr>
              <w:tabs>
                <w:tab w:val="left" w:pos="900"/>
                <w:tab w:val="left" w:pos="1440"/>
              </w:tabs>
              <w:jc w:val="center"/>
              <w:rPr>
                <w:rFonts w:ascii="Times New Roman" w:hAnsi="Times New Roman"/>
                <w:color w:val="auto"/>
                <w:sz w:val="20"/>
                <w:szCs w:val="22"/>
                <w:highlight w:val="none"/>
              </w:rPr>
            </w:pPr>
          </w:p>
        </w:tc>
        <w:tc>
          <w:tcPr>
            <w:tcW w:w="1519" w:type="dxa"/>
            <w:vAlign w:val="center"/>
          </w:tcPr>
          <w:p>
            <w:pPr>
              <w:tabs>
                <w:tab w:val="left" w:pos="900"/>
                <w:tab w:val="left" w:pos="1440"/>
              </w:tabs>
              <w:jc w:val="center"/>
              <w:rPr>
                <w:rFonts w:ascii="Times New Roman" w:hAnsi="Times New Roman"/>
                <w:color w:val="auto"/>
                <w:sz w:val="20"/>
                <w:szCs w:val="22"/>
                <w:highlight w:val="none"/>
              </w:rPr>
            </w:pPr>
          </w:p>
        </w:tc>
      </w:tr>
    </w:tbl>
    <w:p>
      <w:pPr>
        <w:tabs>
          <w:tab w:val="left" w:pos="900"/>
          <w:tab w:val="left" w:pos="1440"/>
        </w:tabs>
        <w:spacing w:before="100" w:line="440" w:lineRule="exact"/>
        <w:ind w:firstLine="442" w:firstLineChars="200"/>
        <w:rPr>
          <w:rFonts w:ascii="Times New Roman" w:hAnsi="Times New Roman" w:eastAsia="楷体_GB2312"/>
          <w:b/>
          <w:color w:val="auto"/>
          <w:sz w:val="22"/>
          <w:szCs w:val="22"/>
          <w:highlight w:val="none"/>
        </w:rPr>
      </w:pPr>
      <w:r>
        <w:rPr>
          <w:rFonts w:ascii="Times New Roman" w:hAnsi="Times New Roman" w:eastAsia="楷体_GB2312"/>
          <w:b/>
          <w:color w:val="auto"/>
          <w:sz w:val="22"/>
          <w:szCs w:val="22"/>
          <w:highlight w:val="none"/>
        </w:rPr>
        <w:t>注：表后应附有以下资料的复印件：企业法人营业执照、企业资质证书副本、省外企业入湘登记备案资料（仅省外监理企业提供）、企业通过相关认证情况的有关证明文件（如有）、企业信用等级情况有关证明文件（如有）、投标单位认为需提供的其他资料。</w:t>
      </w:r>
    </w:p>
    <w:p>
      <w:pPr>
        <w:tabs>
          <w:tab w:val="left" w:pos="900"/>
          <w:tab w:val="left" w:pos="1440"/>
        </w:tabs>
        <w:spacing w:line="460" w:lineRule="exact"/>
        <w:rPr>
          <w:rFonts w:ascii="Times New Roman" w:hAnsi="Times New Roman" w:eastAsia="楷体_GB2312"/>
          <w:b/>
          <w:bCs/>
          <w:color w:val="auto"/>
          <w:sz w:val="22"/>
          <w:szCs w:val="22"/>
          <w:highlight w:val="none"/>
        </w:rPr>
      </w:pPr>
    </w:p>
    <w:p>
      <w:pPr>
        <w:pStyle w:val="6"/>
        <w:rPr>
          <w:rFonts w:ascii="Times New Roman" w:hAnsi="Times New Roman" w:eastAsia="宋体"/>
          <w:b w:val="0"/>
          <w:bCs w:val="0"/>
          <w:color w:val="auto"/>
          <w:sz w:val="22"/>
          <w:szCs w:val="28"/>
          <w:highlight w:val="none"/>
        </w:rPr>
      </w:pPr>
      <w:bookmarkStart w:id="156" w:name="_Toc318"/>
      <w:bookmarkStart w:id="157" w:name="_Toc509841416"/>
      <w:bookmarkStart w:id="158" w:name="_Toc23014"/>
      <w:bookmarkStart w:id="159" w:name="_Toc405313189"/>
      <w:r>
        <w:rPr>
          <w:rFonts w:ascii="Times New Roman" w:hAnsi="Times New Roman" w:eastAsia="宋体"/>
          <w:b w:val="0"/>
          <w:bCs w:val="0"/>
          <w:color w:val="auto"/>
          <w:sz w:val="22"/>
          <w:szCs w:val="28"/>
          <w:highlight w:val="none"/>
        </w:rPr>
        <w:t>格式十：</w:t>
      </w:r>
      <w:bookmarkEnd w:id="156"/>
      <w:bookmarkEnd w:id="157"/>
      <w:bookmarkEnd w:id="158"/>
      <w:bookmarkEnd w:id="159"/>
    </w:p>
    <w:p>
      <w:pPr>
        <w:tabs>
          <w:tab w:val="left" w:pos="0"/>
          <w:tab w:val="left" w:pos="1440"/>
        </w:tabs>
        <w:spacing w:line="380" w:lineRule="exact"/>
        <w:ind w:right="25" w:rightChars="12"/>
        <w:jc w:val="center"/>
        <w:rPr>
          <w:rFonts w:ascii="Times New Roman" w:hAnsi="Times New Roman"/>
          <w:b/>
          <w:bCs/>
          <w:color w:val="auto"/>
          <w:sz w:val="28"/>
          <w:szCs w:val="22"/>
          <w:highlight w:val="none"/>
        </w:rPr>
      </w:pPr>
      <w:r>
        <w:rPr>
          <w:rFonts w:ascii="Times New Roman" w:hAnsi="Times New Roman"/>
          <w:b/>
          <w:bCs/>
          <w:color w:val="auto"/>
          <w:sz w:val="28"/>
          <w:szCs w:val="22"/>
          <w:highlight w:val="none"/>
        </w:rPr>
        <w:t>投标人已完类似监理工程一览表</w:t>
      </w:r>
    </w:p>
    <w:p>
      <w:pPr>
        <w:tabs>
          <w:tab w:val="left" w:pos="0"/>
          <w:tab w:val="left" w:pos="1440"/>
        </w:tabs>
        <w:spacing w:line="380" w:lineRule="exact"/>
        <w:ind w:right="25" w:rightChars="12"/>
        <w:jc w:val="center"/>
        <w:rPr>
          <w:rFonts w:ascii="Times New Roman" w:hAnsi="Times New Roman"/>
          <w:b/>
          <w:bCs/>
          <w:color w:val="auto"/>
          <w:sz w:val="28"/>
          <w:szCs w:val="22"/>
          <w:highlight w:val="none"/>
        </w:rPr>
      </w:pPr>
    </w:p>
    <w:tbl>
      <w:tblPr>
        <w:tblStyle w:val="18"/>
        <w:tblW w:w="92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476"/>
        <w:gridCol w:w="1061"/>
        <w:gridCol w:w="1061"/>
        <w:gridCol w:w="1061"/>
        <w:gridCol w:w="1437"/>
        <w:gridCol w:w="1062"/>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1" w:hRule="atLeast"/>
          <w:jc w:val="center"/>
        </w:trPr>
        <w:tc>
          <w:tcPr>
            <w:tcW w:w="645"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序号</w:t>
            </w:r>
          </w:p>
        </w:tc>
        <w:tc>
          <w:tcPr>
            <w:tcW w:w="1476"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工程名称</w:t>
            </w:r>
          </w:p>
        </w:tc>
        <w:tc>
          <w:tcPr>
            <w:tcW w:w="1061"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面积</w:t>
            </w:r>
          </w:p>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（万M</w:t>
            </w:r>
            <w:r>
              <w:rPr>
                <w:rFonts w:ascii="Times New Roman" w:hAnsi="Times New Roman" w:eastAsia="仿宋_GB2312"/>
                <w:color w:val="auto"/>
                <w:sz w:val="22"/>
                <w:szCs w:val="22"/>
                <w:highlight w:val="none"/>
                <w:vertAlign w:val="superscript"/>
              </w:rPr>
              <w:t>2</w:t>
            </w:r>
            <w:r>
              <w:rPr>
                <w:rFonts w:ascii="Times New Roman" w:hAnsi="Times New Roman" w:eastAsia="仿宋_GB2312"/>
                <w:color w:val="auto"/>
                <w:sz w:val="22"/>
                <w:szCs w:val="22"/>
                <w:highlight w:val="none"/>
              </w:rPr>
              <w:t>）</w:t>
            </w:r>
          </w:p>
        </w:tc>
        <w:tc>
          <w:tcPr>
            <w:tcW w:w="1061"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规模</w:t>
            </w:r>
          </w:p>
        </w:tc>
        <w:tc>
          <w:tcPr>
            <w:tcW w:w="1061"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工程</w:t>
            </w:r>
          </w:p>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投资</w:t>
            </w:r>
          </w:p>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（万元）</w:t>
            </w:r>
          </w:p>
        </w:tc>
        <w:tc>
          <w:tcPr>
            <w:tcW w:w="1437"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委托单位</w:t>
            </w:r>
          </w:p>
        </w:tc>
        <w:tc>
          <w:tcPr>
            <w:tcW w:w="1062"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工期</w:t>
            </w:r>
          </w:p>
        </w:tc>
        <w:tc>
          <w:tcPr>
            <w:tcW w:w="1448" w:type="dxa"/>
            <w:vAlign w:val="center"/>
          </w:tcPr>
          <w:p>
            <w:pPr>
              <w:jc w:val="center"/>
              <w:rPr>
                <w:rFonts w:ascii="Times New Roman" w:hAnsi="Times New Roman" w:eastAsia="仿宋_GB2312"/>
                <w:color w:val="auto"/>
                <w:sz w:val="22"/>
                <w:szCs w:val="22"/>
                <w:highlight w:val="none"/>
              </w:rPr>
            </w:pPr>
            <w:r>
              <w:rPr>
                <w:rFonts w:ascii="Times New Roman" w:hAnsi="Times New Roman" w:eastAsia="仿宋_GB2312"/>
                <w:color w:val="auto"/>
                <w:sz w:val="22"/>
                <w:szCs w:val="22"/>
                <w:highlight w:val="none"/>
              </w:rPr>
              <w:t>监理成果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45" w:type="dxa"/>
          </w:tcPr>
          <w:p>
            <w:pPr>
              <w:jc w:val="center"/>
              <w:rPr>
                <w:rFonts w:ascii="Times New Roman" w:hAnsi="Times New Roman" w:eastAsia="仿宋_GB2312"/>
                <w:color w:val="auto"/>
                <w:sz w:val="24"/>
                <w:szCs w:val="22"/>
                <w:highlight w:val="none"/>
              </w:rPr>
            </w:pPr>
          </w:p>
        </w:tc>
        <w:tc>
          <w:tcPr>
            <w:tcW w:w="1476"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061" w:type="dxa"/>
          </w:tcPr>
          <w:p>
            <w:pPr>
              <w:jc w:val="center"/>
              <w:rPr>
                <w:rFonts w:ascii="Times New Roman" w:hAnsi="Times New Roman" w:eastAsia="仿宋_GB2312"/>
                <w:color w:val="auto"/>
                <w:sz w:val="24"/>
                <w:szCs w:val="22"/>
                <w:highlight w:val="none"/>
              </w:rPr>
            </w:pPr>
          </w:p>
        </w:tc>
        <w:tc>
          <w:tcPr>
            <w:tcW w:w="1437" w:type="dxa"/>
          </w:tcPr>
          <w:p>
            <w:pPr>
              <w:jc w:val="center"/>
              <w:rPr>
                <w:rFonts w:ascii="Times New Roman" w:hAnsi="Times New Roman" w:eastAsia="仿宋_GB2312"/>
                <w:color w:val="auto"/>
                <w:sz w:val="24"/>
                <w:szCs w:val="22"/>
                <w:highlight w:val="none"/>
              </w:rPr>
            </w:pPr>
          </w:p>
        </w:tc>
        <w:tc>
          <w:tcPr>
            <w:tcW w:w="1062" w:type="dxa"/>
          </w:tcPr>
          <w:p>
            <w:pPr>
              <w:jc w:val="center"/>
              <w:rPr>
                <w:rFonts w:ascii="Times New Roman" w:hAnsi="Times New Roman" w:eastAsia="仿宋_GB2312"/>
                <w:color w:val="auto"/>
                <w:sz w:val="24"/>
                <w:szCs w:val="22"/>
                <w:highlight w:val="none"/>
              </w:rPr>
            </w:pPr>
          </w:p>
        </w:tc>
        <w:tc>
          <w:tcPr>
            <w:tcW w:w="1448" w:type="dxa"/>
          </w:tcPr>
          <w:p>
            <w:pPr>
              <w:jc w:val="center"/>
              <w:rPr>
                <w:rFonts w:ascii="Times New Roman" w:hAnsi="Times New Roman" w:eastAsia="仿宋_GB2312"/>
                <w:color w:val="auto"/>
                <w:sz w:val="24"/>
                <w:szCs w:val="22"/>
                <w:highlight w:val="none"/>
              </w:rPr>
            </w:pPr>
          </w:p>
        </w:tc>
      </w:tr>
    </w:tbl>
    <w:p>
      <w:pPr>
        <w:tabs>
          <w:tab w:val="left" w:pos="900"/>
          <w:tab w:val="left" w:pos="1440"/>
        </w:tabs>
        <w:rPr>
          <w:rFonts w:ascii="Times New Roman" w:hAnsi="Times New Roman"/>
          <w:color w:val="auto"/>
          <w:sz w:val="22"/>
          <w:szCs w:val="22"/>
          <w:highlight w:val="none"/>
        </w:rPr>
      </w:pPr>
    </w:p>
    <w:p>
      <w:pPr>
        <w:tabs>
          <w:tab w:val="left" w:pos="900"/>
          <w:tab w:val="left" w:pos="1440"/>
        </w:tabs>
        <w:spacing w:before="100" w:line="440" w:lineRule="exact"/>
        <w:ind w:firstLine="442" w:firstLineChars="200"/>
        <w:rPr>
          <w:rFonts w:ascii="Times New Roman" w:hAnsi="Times New Roman" w:eastAsia="楷体_GB2312"/>
          <w:b/>
          <w:color w:val="auto"/>
          <w:sz w:val="22"/>
          <w:szCs w:val="22"/>
          <w:highlight w:val="none"/>
        </w:rPr>
      </w:pPr>
      <w:r>
        <w:rPr>
          <w:rFonts w:ascii="Times New Roman" w:hAnsi="Times New Roman" w:eastAsia="楷体_GB2312"/>
          <w:b/>
          <w:color w:val="auto"/>
          <w:sz w:val="22"/>
          <w:szCs w:val="22"/>
          <w:highlight w:val="none"/>
        </w:rPr>
        <w:t>注：表后须附类似工程的中标通知书、监理合同、监理业务手册；类似工程的判定标准及判定依据详见本招标文件投标须知及评标办法相关规定。</w:t>
      </w:r>
    </w:p>
    <w:p>
      <w:pPr>
        <w:tabs>
          <w:tab w:val="left" w:pos="900"/>
          <w:tab w:val="left" w:pos="1440"/>
        </w:tabs>
        <w:spacing w:before="100" w:line="440" w:lineRule="exact"/>
        <w:ind w:firstLine="442" w:firstLineChars="200"/>
        <w:rPr>
          <w:rFonts w:ascii="Times New Roman" w:hAnsi="Times New Roman" w:eastAsia="楷体_GB2312"/>
          <w:b/>
          <w:color w:val="auto"/>
          <w:sz w:val="22"/>
          <w:szCs w:val="22"/>
          <w:highlight w:val="none"/>
        </w:rPr>
      </w:pPr>
    </w:p>
    <w:p>
      <w:pPr>
        <w:tabs>
          <w:tab w:val="left" w:pos="900"/>
          <w:tab w:val="left" w:pos="1440"/>
        </w:tabs>
        <w:spacing w:before="100" w:line="440" w:lineRule="exact"/>
        <w:ind w:firstLine="442" w:firstLineChars="200"/>
        <w:rPr>
          <w:rFonts w:ascii="Times New Roman" w:hAnsi="Times New Roman" w:eastAsia="楷体_GB2312"/>
          <w:b/>
          <w:color w:val="auto"/>
          <w:sz w:val="22"/>
          <w:szCs w:val="22"/>
          <w:highlight w:val="none"/>
        </w:rPr>
      </w:pPr>
    </w:p>
    <w:p>
      <w:pPr>
        <w:tabs>
          <w:tab w:val="left" w:pos="900"/>
          <w:tab w:val="left" w:pos="1440"/>
        </w:tabs>
        <w:spacing w:before="100" w:line="440" w:lineRule="exact"/>
        <w:ind w:firstLine="442" w:firstLineChars="200"/>
        <w:rPr>
          <w:rFonts w:ascii="Times New Roman" w:hAnsi="Times New Roman" w:eastAsia="楷体_GB2312"/>
          <w:b/>
          <w:color w:val="auto"/>
          <w:sz w:val="22"/>
          <w:szCs w:val="22"/>
          <w:highlight w:val="none"/>
        </w:rPr>
      </w:pPr>
    </w:p>
    <w:p>
      <w:pPr>
        <w:pStyle w:val="6"/>
        <w:rPr>
          <w:rFonts w:ascii="Times New Roman" w:hAnsi="Times New Roman" w:eastAsia="宋体"/>
          <w:b w:val="0"/>
          <w:bCs w:val="0"/>
          <w:color w:val="auto"/>
          <w:sz w:val="22"/>
          <w:szCs w:val="28"/>
          <w:highlight w:val="none"/>
        </w:rPr>
      </w:pPr>
      <w:bookmarkStart w:id="160" w:name="_Toc509841417"/>
      <w:bookmarkStart w:id="161" w:name="_Toc405313190"/>
      <w:bookmarkStart w:id="162" w:name="_Toc1535"/>
      <w:bookmarkStart w:id="163" w:name="_Toc19101"/>
      <w:r>
        <w:rPr>
          <w:rFonts w:ascii="Times New Roman" w:hAnsi="Times New Roman" w:eastAsia="宋体"/>
          <w:b w:val="0"/>
          <w:bCs w:val="0"/>
          <w:color w:val="auto"/>
          <w:sz w:val="22"/>
          <w:szCs w:val="28"/>
          <w:highlight w:val="none"/>
        </w:rPr>
        <w:t>格式十一：</w:t>
      </w:r>
      <w:bookmarkEnd w:id="160"/>
      <w:bookmarkEnd w:id="161"/>
      <w:bookmarkEnd w:id="162"/>
      <w:bookmarkEnd w:id="163"/>
    </w:p>
    <w:p>
      <w:pPr>
        <w:tabs>
          <w:tab w:val="left" w:pos="0"/>
          <w:tab w:val="left" w:pos="1440"/>
        </w:tabs>
        <w:spacing w:line="380" w:lineRule="exact"/>
        <w:ind w:right="25" w:rightChars="12"/>
        <w:jc w:val="center"/>
        <w:rPr>
          <w:rFonts w:ascii="Times New Roman" w:hAnsi="Times New Roman"/>
          <w:b/>
          <w:bCs/>
          <w:color w:val="auto"/>
          <w:sz w:val="28"/>
          <w:szCs w:val="22"/>
          <w:highlight w:val="none"/>
        </w:rPr>
      </w:pPr>
      <w:r>
        <w:rPr>
          <w:rFonts w:ascii="Times New Roman" w:hAnsi="Times New Roman"/>
          <w:b/>
          <w:bCs/>
          <w:color w:val="auto"/>
          <w:sz w:val="28"/>
          <w:szCs w:val="22"/>
          <w:highlight w:val="none"/>
        </w:rPr>
        <w:t>投标人廉政承诺书</w:t>
      </w:r>
    </w:p>
    <w:p>
      <w:pPr>
        <w:jc w:val="center"/>
        <w:rPr>
          <w:rFonts w:ascii="Times New Roman" w:hAnsi="Times New Roman" w:eastAsia="黑体"/>
          <w:color w:val="auto"/>
          <w:sz w:val="24"/>
          <w:highlight w:val="none"/>
        </w:rPr>
      </w:pP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为了加强招标活动中的廉政建设，进一步规范招投标市场，防止发生违法违纪行为，落实公开、公平、公正的原则，根据国家有关法律、法规和廉政建设责任规定，本投标人特作如下承诺：</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1、不向招标人、代理机构及其他投标人行贿，不与他人串通一气搞假招标、陪标、围标、串标。</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2、不向评委行贿，不以不正当手段谋取中标。</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3、不向招投标监管人员请客、送礼及组织其它有可能影响客观、公正、监管的活动。</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4、不给责任人的违法违章行为说情、解脱。</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如发生上述问题，本投标人自愿承担相关责任，接受不良行为记录，并对责任人给予党纪、政纪处分。</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承诺人：(盖章)                          法定代表人：</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本次投标项目：</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 xml:space="preserve">                                           年  月  日</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p>
    <w:p>
      <w:pPr>
        <w:jc w:val="center"/>
        <w:rPr>
          <w:rFonts w:ascii="Times New Roman" w:hAnsi="Times New Roman" w:eastAsia="黑体"/>
          <w:color w:val="auto"/>
          <w:sz w:val="44"/>
          <w:szCs w:val="44"/>
          <w:highlight w:val="none"/>
        </w:rPr>
      </w:pPr>
    </w:p>
    <w:p>
      <w:pPr>
        <w:jc w:val="center"/>
        <w:rPr>
          <w:rFonts w:ascii="Times New Roman" w:hAnsi="Times New Roman" w:eastAsia="黑体"/>
          <w:color w:val="auto"/>
          <w:sz w:val="44"/>
          <w:szCs w:val="44"/>
          <w:highlight w:val="none"/>
        </w:rPr>
      </w:pPr>
    </w:p>
    <w:p>
      <w:pPr>
        <w:jc w:val="center"/>
        <w:rPr>
          <w:rFonts w:ascii="Times New Roman" w:hAnsi="Times New Roman" w:eastAsia="黑体"/>
          <w:color w:val="auto"/>
          <w:sz w:val="44"/>
          <w:szCs w:val="44"/>
          <w:highlight w:val="none"/>
        </w:rPr>
      </w:pPr>
    </w:p>
    <w:p>
      <w:pPr>
        <w:jc w:val="center"/>
        <w:rPr>
          <w:rFonts w:ascii="Times New Roman" w:hAnsi="Times New Roman" w:eastAsia="黑体"/>
          <w:color w:val="auto"/>
          <w:sz w:val="44"/>
          <w:szCs w:val="44"/>
          <w:highlight w:val="none"/>
        </w:rPr>
      </w:pPr>
    </w:p>
    <w:p>
      <w:pPr>
        <w:jc w:val="center"/>
        <w:rPr>
          <w:rFonts w:ascii="Times New Roman" w:hAnsi="Times New Roman" w:eastAsia="黑体"/>
          <w:color w:val="auto"/>
          <w:sz w:val="44"/>
          <w:szCs w:val="44"/>
          <w:highlight w:val="none"/>
        </w:rPr>
      </w:pPr>
    </w:p>
    <w:p>
      <w:pPr>
        <w:jc w:val="center"/>
        <w:rPr>
          <w:rFonts w:ascii="Times New Roman" w:hAnsi="Times New Roman" w:eastAsia="黑体"/>
          <w:color w:val="auto"/>
          <w:sz w:val="44"/>
          <w:szCs w:val="44"/>
          <w:highlight w:val="none"/>
        </w:rPr>
      </w:pPr>
    </w:p>
    <w:p>
      <w:pPr>
        <w:pStyle w:val="6"/>
        <w:rPr>
          <w:rFonts w:ascii="Times New Roman" w:hAnsi="Times New Roman"/>
          <w:color w:val="auto"/>
          <w:sz w:val="22"/>
          <w:szCs w:val="28"/>
          <w:highlight w:val="none"/>
        </w:rPr>
      </w:pPr>
      <w:r>
        <w:rPr>
          <w:rFonts w:ascii="Times New Roman" w:hAnsi="Times New Roman" w:eastAsia="宋体"/>
          <w:b w:val="0"/>
          <w:bCs w:val="0"/>
          <w:color w:val="auto"/>
          <w:sz w:val="22"/>
          <w:szCs w:val="28"/>
          <w:highlight w:val="none"/>
        </w:rPr>
        <w:br w:type="page"/>
      </w:r>
      <w:bookmarkStart w:id="164" w:name="_Toc27516"/>
      <w:bookmarkStart w:id="165" w:name="_Toc509841418"/>
      <w:bookmarkStart w:id="166" w:name="_Toc291"/>
      <w:bookmarkStart w:id="167" w:name="_Toc405313191"/>
      <w:r>
        <w:rPr>
          <w:rFonts w:ascii="Times New Roman" w:hAnsi="Times New Roman" w:eastAsia="宋体"/>
          <w:b w:val="0"/>
          <w:bCs w:val="0"/>
          <w:color w:val="auto"/>
          <w:sz w:val="22"/>
          <w:szCs w:val="28"/>
          <w:highlight w:val="none"/>
        </w:rPr>
        <w:t>格式十二</w:t>
      </w:r>
      <w:bookmarkEnd w:id="164"/>
      <w:bookmarkEnd w:id="165"/>
      <w:bookmarkEnd w:id="166"/>
      <w:bookmarkEnd w:id="167"/>
      <w:r>
        <w:rPr>
          <w:rFonts w:ascii="Times New Roman" w:hAnsi="Times New Roman"/>
          <w:color w:val="auto"/>
          <w:sz w:val="22"/>
          <w:szCs w:val="28"/>
          <w:highlight w:val="none"/>
        </w:rPr>
        <w:t xml:space="preserve">        </w:t>
      </w:r>
    </w:p>
    <w:p>
      <w:pPr>
        <w:tabs>
          <w:tab w:val="left" w:pos="0"/>
          <w:tab w:val="left" w:pos="1440"/>
        </w:tabs>
        <w:spacing w:line="380" w:lineRule="exact"/>
        <w:ind w:right="25" w:rightChars="12"/>
        <w:jc w:val="center"/>
        <w:rPr>
          <w:rFonts w:ascii="Times New Roman" w:hAnsi="Times New Roman" w:eastAsia="黑体"/>
          <w:color w:val="auto"/>
          <w:sz w:val="44"/>
          <w:szCs w:val="44"/>
          <w:highlight w:val="none"/>
        </w:rPr>
      </w:pPr>
      <w:r>
        <w:rPr>
          <w:rFonts w:ascii="Times New Roman" w:hAnsi="Times New Roman"/>
          <w:color w:val="auto"/>
          <w:sz w:val="22"/>
          <w:szCs w:val="22"/>
          <w:highlight w:val="none"/>
        </w:rPr>
        <w:t xml:space="preserve"> </w:t>
      </w:r>
      <w:r>
        <w:rPr>
          <w:rFonts w:ascii="Times New Roman" w:hAnsi="Times New Roman"/>
          <w:b/>
          <w:bCs/>
          <w:color w:val="auto"/>
          <w:sz w:val="28"/>
          <w:szCs w:val="22"/>
          <w:highlight w:val="none"/>
        </w:rPr>
        <w:t>投标人承诺书</w:t>
      </w:r>
    </w:p>
    <w:p>
      <w:pPr>
        <w:spacing w:line="360" w:lineRule="auto"/>
        <w:ind w:firstLine="420" w:firstLineChars="150"/>
        <w:rPr>
          <w:rFonts w:ascii="Times New Roman" w:hAnsi="Times New Roman" w:eastAsia="楷体_GB2312"/>
          <w:color w:val="auto"/>
          <w:sz w:val="28"/>
          <w:szCs w:val="28"/>
          <w:highlight w:val="none"/>
        </w:rPr>
      </w:pP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株洲市住房和城乡建设局：</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我单位作为株洲市                               项目的投标人，在此郑重承诺：</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1、在投标过程中，我单位所出具的投标文件及各项资料、数据和印鉴合法、真实、有效，绝无弄虚作假行为。</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2、我单位在投标文件中出具的各类执业人员的证件合法、真实、有效，且都是我单位的在编在岗人员，没有临时借用或聘请参与本次投标的情况。</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3、我单位参与该项目投标，本着诚信守法，决不围标串标的原则，绝无挂靠或转借资质行为。</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4、若能中标，绝不违法转包或分包工程项目。并按投标文件内容将关键岗位人员配备到位，随时接受招标投标行政主管部门的检查，且不会违规更换关键岗位执业人员。</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5、一旦出现与上述承诺相背离的情况时，我们愿意接受株洲市招标投标行政管理部门依法作出的行政处罚。如关键岗位人员配备不到位或检查时出现二次空缺，一年内不参与株洲市工程建设项目的投标活动；如有弄虚作假行为，三年内不到株洲市参与工程建设项目的投标活动；如有重大安全、质量或涉稳事故，二年内不参与株洲建设工程项目的投标。</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法人代表签字                              单位公章</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 xml:space="preserve">                                    年   月    日 </w:t>
      </w:r>
    </w:p>
    <w:p>
      <w:pPr>
        <w:tabs>
          <w:tab w:val="left" w:pos="0"/>
          <w:tab w:val="left" w:pos="540"/>
          <w:tab w:val="left" w:pos="1440"/>
        </w:tabs>
        <w:spacing w:line="500" w:lineRule="exact"/>
        <w:ind w:right="25" w:rightChars="12" w:firstLine="440" w:firstLineChars="200"/>
        <w:rPr>
          <w:rFonts w:ascii="Times New Roman" w:hAnsi="Times New Roman"/>
          <w:color w:val="auto"/>
          <w:sz w:val="22"/>
          <w:szCs w:val="22"/>
          <w:highlight w:val="none"/>
        </w:rPr>
      </w:pPr>
    </w:p>
    <w:p>
      <w:pPr>
        <w:tabs>
          <w:tab w:val="left" w:pos="900"/>
          <w:tab w:val="left" w:pos="1440"/>
        </w:tabs>
        <w:rPr>
          <w:rFonts w:ascii="Times New Roman" w:hAnsi="Times New Roman"/>
          <w:color w:val="auto"/>
          <w:sz w:val="22"/>
          <w:szCs w:val="22"/>
          <w:highlight w:val="none"/>
        </w:rPr>
        <w:sectPr>
          <w:footerReference r:id="rId13" w:type="default"/>
          <w:pgSz w:w="11907" w:h="16840"/>
          <w:pgMar w:top="1134" w:right="992" w:bottom="1134" w:left="1418" w:header="680" w:footer="567" w:gutter="0"/>
          <w:pgNumType w:fmt="numberInDash" w:start="1"/>
          <w:cols w:space="720" w:num="1"/>
          <w:docGrid w:linePitch="312" w:charSpace="0"/>
        </w:sectPr>
      </w:pPr>
    </w:p>
    <w:p>
      <w:pPr>
        <w:pStyle w:val="5"/>
        <w:keepLines w:val="0"/>
        <w:pageBreakBefore w:val="0"/>
        <w:widowControl/>
        <w:numPr>
          <w:ilvl w:val="0"/>
          <w:numId w:val="10"/>
        </w:numPr>
        <w:autoSpaceDE/>
        <w:autoSpaceDN/>
        <w:adjustRightInd/>
        <w:spacing w:before="0" w:after="0" w:line="240" w:lineRule="atLeast"/>
        <w:rPr>
          <w:rFonts w:ascii="Times New Roman" w:hAnsi="Times New Roman" w:eastAsia="宋体"/>
          <w:bCs w:val="0"/>
          <w:color w:val="auto"/>
          <w:spacing w:val="0"/>
          <w:kern w:val="0"/>
          <w:sz w:val="40"/>
          <w:szCs w:val="18"/>
          <w:highlight w:val="none"/>
        </w:rPr>
      </w:pPr>
      <w:r>
        <w:rPr>
          <w:rFonts w:ascii="Times New Roman" w:hAnsi="Times New Roman" w:eastAsia="宋体"/>
          <w:bCs w:val="0"/>
          <w:color w:val="auto"/>
          <w:spacing w:val="0"/>
          <w:kern w:val="0"/>
          <w:sz w:val="40"/>
          <w:szCs w:val="18"/>
          <w:highlight w:val="none"/>
        </w:rPr>
        <w:t xml:space="preserve"> </w:t>
      </w:r>
      <w:bookmarkStart w:id="168" w:name="_Toc509841419"/>
      <w:r>
        <w:rPr>
          <w:rFonts w:ascii="Times New Roman" w:hAnsi="Times New Roman" w:eastAsia="宋体"/>
          <w:bCs w:val="0"/>
          <w:color w:val="auto"/>
          <w:spacing w:val="0"/>
          <w:kern w:val="0"/>
          <w:sz w:val="40"/>
          <w:szCs w:val="18"/>
          <w:highlight w:val="none"/>
        </w:rPr>
        <w:t>技术规范</w:t>
      </w:r>
      <w:bookmarkEnd w:id="168"/>
    </w:p>
    <w:p>
      <w:pPr>
        <w:rPr>
          <w:rFonts w:ascii="Times New Roman" w:hAnsi="Times New Roman"/>
          <w:color w:val="auto"/>
          <w:highlight w:val="none"/>
        </w:rPr>
      </w:pPr>
    </w:p>
    <w:p>
      <w:pPr>
        <w:tabs>
          <w:tab w:val="left" w:pos="0"/>
          <w:tab w:val="left" w:pos="540"/>
          <w:tab w:val="left" w:pos="1440"/>
        </w:tabs>
        <w:spacing w:line="420" w:lineRule="exact"/>
        <w:ind w:right="21" w:rightChars="10" w:firstLine="420" w:firstLineChars="200"/>
        <w:rPr>
          <w:color w:val="auto"/>
          <w:highlight w:val="none"/>
        </w:rPr>
      </w:pPr>
      <w:r>
        <w:rPr>
          <w:rFonts w:hint="eastAsia"/>
          <w:color w:val="auto"/>
          <w:highlight w:val="none"/>
        </w:rPr>
        <w:t>本招标工程项目的材料、设备、施工，除设计文件中另有约定者外，必须达到下列现行中华人民共和国以及省或行业的工程建设标准、规范的要求。如有下列标准、规范中未列出的，必须按国家、省市颁布的最新有关标准、规范执行，不同标准之间对同一问题表述不一致时，要求以最新标准为准。</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1、《城市道路工程设计规范》                  CJJ37-2012</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2、《城市道路路线设计规范》                  CJJ193-2012</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3、《城市道路交叉口设计规程》                CJJ152-2010</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4、《城镇道路路面设计规范》                  CJJ169-2012</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 xml:space="preserve">5、《道路交通标志和标线》               </w:t>
      </w:r>
      <w:r>
        <w:rPr>
          <w:rFonts w:hint="eastAsia"/>
          <w:color w:val="auto"/>
          <w:highlight w:val="none"/>
        </w:rPr>
        <w:tab/>
      </w:r>
      <w:r>
        <w:rPr>
          <w:rFonts w:hint="eastAsia"/>
          <w:color w:val="auto"/>
          <w:highlight w:val="none"/>
        </w:rPr>
        <w:tab/>
      </w:r>
      <w:r>
        <w:rPr>
          <w:rFonts w:hint="eastAsia"/>
          <w:color w:val="auto"/>
          <w:highlight w:val="none"/>
        </w:rPr>
        <w:t>GB5768-2009</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 xml:space="preserve">6、《城市排水工程规划规范》               </w:t>
      </w:r>
      <w:r>
        <w:rPr>
          <w:rFonts w:hint="eastAsia"/>
          <w:color w:val="auto"/>
          <w:highlight w:val="none"/>
        </w:rPr>
        <w:tab/>
      </w:r>
      <w:r>
        <w:rPr>
          <w:rFonts w:hint="eastAsia"/>
          <w:color w:val="auto"/>
          <w:highlight w:val="none"/>
        </w:rPr>
        <w:t>GB50318-2000</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 xml:space="preserve">7、《室外排水设计规范》                   </w:t>
      </w:r>
      <w:r>
        <w:rPr>
          <w:rFonts w:hint="eastAsia"/>
          <w:color w:val="auto"/>
          <w:highlight w:val="none"/>
        </w:rPr>
        <w:tab/>
      </w:r>
      <w:r>
        <w:rPr>
          <w:rFonts w:hint="eastAsia"/>
          <w:color w:val="auto"/>
          <w:highlight w:val="none"/>
        </w:rPr>
        <w:t>GB50014-2006（2011版）</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8、《城市道路照明设计标准》                  CJJ45-2006</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9、《公路工程沥青及沥青混合料试验规程》      JTJ 052-2000</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10、《公路工程集料试验规程》                  JTG E42-2005</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11、《公路路面基层施工技术规范》              JTJ 034-2000</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12、《城镇道路工程施工与质量验收规范》        CJJ 1-2008</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13、《公路工程无机结合料稳定材料试验规程》   JTG E51-2009</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14、《城市桥梁设计规范》                     CJJ 11-2011</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15、《公路钢筋混凝土及预应力混凝土桥涵设计规范》JTG D62-2004</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16、《公路交通安全设施设计规范》             JTG D81-2006</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17、《公路交通安全设施施工技术规范》         JTG F71-2006</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18、《给水排水工程构筑物结构设计规范》       GB 50069-2002</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19、《给水排水工程管道结构设计规范》         GB 50332-2002</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20、《供配电系统设计规范》                   GB 50052-2009</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21、《城市道路照明工程施工及验收规程》       CJJ 89-2001</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22、《城市绿地设计规范》                     GB 50420-2007</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23、《城市公共设施规划规范》                 GB 50442-2008</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24、《无障碍设计规范》                       GB50763-2012</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25、建设工程档案管理规范                     GB/T50328-2001</w:t>
      </w:r>
    </w:p>
    <w:p>
      <w:pPr>
        <w:tabs>
          <w:tab w:val="left" w:pos="0"/>
          <w:tab w:val="left" w:pos="540"/>
          <w:tab w:val="left" w:pos="1440"/>
        </w:tabs>
        <w:spacing w:line="440" w:lineRule="exact"/>
        <w:ind w:right="21" w:rightChars="10" w:firstLine="420" w:firstLineChars="200"/>
        <w:rPr>
          <w:color w:val="auto"/>
          <w:highlight w:val="none"/>
        </w:rPr>
      </w:pPr>
      <w:r>
        <w:rPr>
          <w:rFonts w:hint="eastAsia"/>
          <w:color w:val="auto"/>
          <w:highlight w:val="none"/>
        </w:rPr>
        <w:t>未列出的技术规范按国家有关规定执行，其他见设计文件中规定。</w:t>
      </w:r>
    </w:p>
    <w:p>
      <w:pPr>
        <w:tabs>
          <w:tab w:val="left" w:pos="0"/>
          <w:tab w:val="left" w:pos="540"/>
          <w:tab w:val="left" w:pos="1440"/>
        </w:tabs>
        <w:spacing w:line="400" w:lineRule="exact"/>
        <w:ind w:right="25" w:rightChars="12"/>
        <w:rPr>
          <w:b/>
          <w:bCs/>
          <w:color w:val="auto"/>
          <w:sz w:val="44"/>
          <w:highlight w:val="none"/>
        </w:rPr>
        <w:sectPr>
          <w:pgSz w:w="11906" w:h="16838"/>
          <w:pgMar w:top="1134" w:right="1418" w:bottom="1134" w:left="1418" w:header="680" w:footer="567" w:gutter="0"/>
          <w:cols w:space="720" w:num="1"/>
          <w:docGrid w:linePitch="312" w:charSpace="0"/>
        </w:sectPr>
      </w:pPr>
    </w:p>
    <w:p>
      <w:pPr>
        <w:pStyle w:val="5"/>
        <w:keepLines w:val="0"/>
        <w:pageBreakBefore w:val="0"/>
        <w:widowControl/>
        <w:autoSpaceDE/>
        <w:autoSpaceDN/>
        <w:adjustRightInd/>
        <w:spacing w:before="0" w:after="0" w:line="240" w:lineRule="atLeast"/>
        <w:ind w:firstLine="2880" w:firstLineChars="600"/>
        <w:jc w:val="both"/>
        <w:rPr>
          <w:rFonts w:ascii="Times New Roman" w:hAnsi="Times New Roman"/>
          <w:color w:val="auto"/>
          <w:sz w:val="32"/>
          <w:szCs w:val="40"/>
          <w:highlight w:val="none"/>
        </w:rPr>
      </w:pPr>
      <w:bookmarkStart w:id="169" w:name="_Toc509841420"/>
      <w:r>
        <w:rPr>
          <w:rFonts w:ascii="Times New Roman" w:hAnsi="Times New Roman"/>
          <w:bCs w:val="0"/>
          <w:color w:val="auto"/>
          <w:sz w:val="40"/>
          <w:szCs w:val="40"/>
          <w:highlight w:val="none"/>
        </w:rPr>
        <w:t>第六章  评标办法</w:t>
      </w:r>
      <w:bookmarkEnd w:id="169"/>
    </w:p>
    <w:p>
      <w:pPr>
        <w:pStyle w:val="24"/>
        <w:tabs>
          <w:tab w:val="left" w:pos="900"/>
          <w:tab w:val="left" w:pos="1440"/>
        </w:tabs>
        <w:autoSpaceDE/>
        <w:autoSpaceDN/>
        <w:adjustRightInd/>
        <w:spacing w:line="520" w:lineRule="exact"/>
        <w:ind w:firstLineChars="0"/>
        <w:rPr>
          <w:rFonts w:ascii="Times New Roman" w:hAnsi="Times New Roman" w:eastAsia="宋体"/>
          <w:color w:val="auto"/>
          <w:sz w:val="22"/>
          <w:szCs w:val="22"/>
          <w:highlight w:val="none"/>
        </w:rPr>
      </w:pPr>
      <w:r>
        <w:rPr>
          <w:rFonts w:ascii="Times New Roman" w:hAnsi="Times New Roman" w:eastAsia="宋体"/>
          <w:color w:val="auto"/>
          <w:sz w:val="22"/>
          <w:szCs w:val="22"/>
          <w:highlight w:val="none"/>
        </w:rPr>
        <w:t>1.评标原则</w:t>
      </w:r>
    </w:p>
    <w:p>
      <w:pPr>
        <w:pStyle w:val="24"/>
        <w:tabs>
          <w:tab w:val="left" w:pos="900"/>
          <w:tab w:val="left" w:pos="1440"/>
        </w:tabs>
        <w:autoSpaceDE/>
        <w:autoSpaceDN/>
        <w:adjustRightInd/>
        <w:spacing w:line="520" w:lineRule="exact"/>
        <w:ind w:firstLineChars="0"/>
        <w:rPr>
          <w:rFonts w:ascii="Times New Roman" w:hAnsi="Times New Roman" w:eastAsia="宋体"/>
          <w:color w:val="auto"/>
          <w:kern w:val="2"/>
          <w:sz w:val="22"/>
          <w:szCs w:val="22"/>
          <w:highlight w:val="none"/>
        </w:rPr>
      </w:pPr>
      <w:r>
        <w:rPr>
          <w:rFonts w:ascii="Times New Roman" w:hAnsi="Times New Roman" w:eastAsia="宋体"/>
          <w:color w:val="auto"/>
          <w:kern w:val="2"/>
          <w:sz w:val="22"/>
          <w:szCs w:val="22"/>
          <w:highlight w:val="none"/>
        </w:rPr>
        <w:t>监理招标评标应坚持监理技术方案先进、监理措施可靠、监理技术力量和管理能力满足工程监理要求、收费合理的原则，并综合考虑监理单位的业绩与经验、专业技术能力和社会信誉等因素。评标活动应遵循公平、公正、择优原则。</w:t>
      </w:r>
    </w:p>
    <w:p>
      <w:pPr>
        <w:pStyle w:val="24"/>
        <w:tabs>
          <w:tab w:val="left" w:pos="900"/>
          <w:tab w:val="left" w:pos="1440"/>
        </w:tabs>
        <w:autoSpaceDE/>
        <w:autoSpaceDN/>
        <w:adjustRightInd/>
        <w:spacing w:line="520" w:lineRule="exact"/>
        <w:ind w:firstLineChars="0"/>
        <w:rPr>
          <w:rFonts w:ascii="Times New Roman" w:hAnsi="Times New Roman" w:eastAsia="宋体"/>
          <w:color w:val="auto"/>
          <w:sz w:val="22"/>
          <w:szCs w:val="22"/>
          <w:highlight w:val="none"/>
        </w:rPr>
      </w:pPr>
      <w:r>
        <w:rPr>
          <w:rFonts w:ascii="Times New Roman" w:hAnsi="Times New Roman" w:eastAsia="宋体"/>
          <w:color w:val="auto"/>
          <w:sz w:val="22"/>
          <w:szCs w:val="22"/>
          <w:highlight w:val="none"/>
        </w:rPr>
        <w:t>2.评标办法</w:t>
      </w:r>
    </w:p>
    <w:p>
      <w:pPr>
        <w:tabs>
          <w:tab w:val="left" w:pos="900"/>
          <w:tab w:val="left" w:pos="1440"/>
        </w:tabs>
        <w:spacing w:line="5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评标办法：依据湘建监督[2018]240号《湖南省房屋建筑和市政工程监理招标评标办法》进行评标，本工程采用综合评估法。</w:t>
      </w:r>
    </w:p>
    <w:p>
      <w:pPr>
        <w:pStyle w:val="24"/>
        <w:tabs>
          <w:tab w:val="left" w:pos="900"/>
          <w:tab w:val="left" w:pos="1440"/>
        </w:tabs>
        <w:autoSpaceDE/>
        <w:autoSpaceDN/>
        <w:adjustRightInd/>
        <w:spacing w:line="520" w:lineRule="exact"/>
        <w:ind w:firstLineChars="0"/>
        <w:rPr>
          <w:rFonts w:ascii="Times New Roman" w:hAnsi="Times New Roman" w:eastAsia="宋体"/>
          <w:color w:val="auto"/>
          <w:sz w:val="22"/>
          <w:szCs w:val="22"/>
          <w:highlight w:val="none"/>
        </w:rPr>
      </w:pPr>
      <w:r>
        <w:rPr>
          <w:rFonts w:ascii="Times New Roman" w:hAnsi="Times New Roman" w:eastAsia="宋体"/>
          <w:color w:val="auto"/>
          <w:sz w:val="22"/>
          <w:szCs w:val="22"/>
          <w:highlight w:val="none"/>
        </w:rPr>
        <w:t>3.评标程序</w:t>
      </w:r>
    </w:p>
    <w:p>
      <w:pPr>
        <w:tabs>
          <w:tab w:val="left" w:pos="900"/>
          <w:tab w:val="left" w:pos="1440"/>
        </w:tabs>
        <w:spacing w:line="520" w:lineRule="exact"/>
        <w:ind w:firstLine="323" w:firstLineChars="147"/>
        <w:rPr>
          <w:rFonts w:ascii="Times New Roman" w:hAnsi="Times New Roman"/>
          <w:color w:val="auto"/>
          <w:sz w:val="22"/>
          <w:szCs w:val="22"/>
          <w:highlight w:val="none"/>
        </w:rPr>
      </w:pPr>
      <w:r>
        <w:rPr>
          <w:rFonts w:ascii="Times New Roman" w:hAnsi="Times New Roman"/>
          <w:color w:val="auto"/>
          <w:sz w:val="22"/>
          <w:szCs w:val="22"/>
          <w:highlight w:val="none"/>
        </w:rPr>
        <w:t>评标程序分为评标准备、初步评审、详细评审、推荐中标候选人与定标。</w:t>
      </w:r>
    </w:p>
    <w:p>
      <w:pPr>
        <w:pStyle w:val="24"/>
        <w:tabs>
          <w:tab w:val="left" w:pos="900"/>
        </w:tabs>
        <w:autoSpaceDE/>
        <w:autoSpaceDN/>
        <w:adjustRightInd/>
        <w:spacing w:line="520" w:lineRule="exact"/>
        <w:ind w:firstLineChars="0"/>
        <w:rPr>
          <w:rFonts w:ascii="Times New Roman" w:hAnsi="Times New Roman" w:eastAsia="宋体"/>
          <w:color w:val="auto"/>
          <w:kern w:val="2"/>
          <w:sz w:val="22"/>
          <w:szCs w:val="22"/>
          <w:highlight w:val="none"/>
        </w:rPr>
      </w:pPr>
      <w:r>
        <w:rPr>
          <w:rFonts w:ascii="Times New Roman" w:hAnsi="Times New Roman" w:eastAsia="宋体"/>
          <w:color w:val="auto"/>
          <w:kern w:val="2"/>
          <w:sz w:val="22"/>
          <w:szCs w:val="22"/>
          <w:highlight w:val="none"/>
        </w:rPr>
        <w:t>3.1评标准备</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3.1.1评标准备工作包括评标委员会成员签到、评标委员会分工、熟悉文件资料等。在评标准备中，评标委员会成员应当认真研究招标文件，至少应了解和熟悉以下内容，并填写基本情况和数据表（见附表1）：</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hint="eastAsia" w:ascii="宋体" w:hAnsi="宋体" w:cs="宋体"/>
          <w:color w:val="auto"/>
          <w:sz w:val="22"/>
          <w:szCs w:val="22"/>
          <w:highlight w:val="none"/>
        </w:rPr>
        <w:t>⑴</w:t>
      </w:r>
      <w:r>
        <w:rPr>
          <w:rFonts w:ascii="Times New Roman" w:hAnsi="Times New Roman"/>
          <w:color w:val="auto"/>
          <w:sz w:val="22"/>
          <w:szCs w:val="22"/>
          <w:highlight w:val="none"/>
        </w:rPr>
        <w:t>招标目标和项目范围；</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hint="eastAsia" w:ascii="宋体" w:hAnsi="宋体" w:cs="宋体"/>
          <w:color w:val="auto"/>
          <w:sz w:val="22"/>
          <w:szCs w:val="22"/>
          <w:highlight w:val="none"/>
        </w:rPr>
        <w:t>⑵</w:t>
      </w:r>
      <w:r>
        <w:rPr>
          <w:rFonts w:ascii="Times New Roman" w:hAnsi="Times New Roman"/>
          <w:color w:val="auto"/>
          <w:sz w:val="22"/>
          <w:szCs w:val="22"/>
          <w:highlight w:val="none"/>
        </w:rPr>
        <w:t>招标文件中规定的投标须知和合同主要条款；</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hint="eastAsia" w:ascii="宋体" w:hAnsi="宋体" w:cs="宋体"/>
          <w:color w:val="auto"/>
          <w:sz w:val="22"/>
          <w:szCs w:val="22"/>
          <w:highlight w:val="none"/>
        </w:rPr>
        <w:t>⑶</w:t>
      </w:r>
      <w:r>
        <w:rPr>
          <w:rFonts w:ascii="Times New Roman" w:hAnsi="Times New Roman"/>
          <w:color w:val="auto"/>
          <w:sz w:val="22"/>
          <w:szCs w:val="22"/>
          <w:highlight w:val="none"/>
        </w:rPr>
        <w:t>招标文件中规定的评标办法和在评标中应当考虑的相关因素。</w:t>
      </w:r>
    </w:p>
    <w:p>
      <w:pPr>
        <w:widowControl/>
        <w:shd w:val="clear" w:color="auto" w:fill="FFFFFF"/>
        <w:spacing w:line="520" w:lineRule="exact"/>
        <w:ind w:firstLine="440" w:firstLineChars="200"/>
        <w:jc w:val="left"/>
        <w:rPr>
          <w:rFonts w:ascii="Times New Roman" w:hAnsi="Times New Roman"/>
          <w:color w:val="auto"/>
          <w:kern w:val="0"/>
          <w:sz w:val="22"/>
          <w:szCs w:val="22"/>
          <w:highlight w:val="none"/>
        </w:rPr>
      </w:pPr>
      <w:r>
        <w:rPr>
          <w:rFonts w:ascii="Times New Roman" w:hAnsi="Times New Roman"/>
          <w:color w:val="auto"/>
          <w:sz w:val="22"/>
          <w:szCs w:val="22"/>
          <w:highlight w:val="none"/>
        </w:rPr>
        <w:t>3.1.2评标委员会成员进入评标现场后，招标人可以介绍招标项目相关情况，但不得发表偏离评标办法作出倾向性、诱导性意见。评标开始后，除评标委员会成员、1名招标人工作人员、1名招标人监督代表及招标投标行政监督人员以外，其他人员应当离开评标现场。评标过程中，除行政监察人员可以进入评标现场巡视以外，其他人员不得擅自进入评标现场。</w:t>
      </w:r>
    </w:p>
    <w:p>
      <w:pPr>
        <w:pStyle w:val="24"/>
        <w:tabs>
          <w:tab w:val="left" w:pos="900"/>
        </w:tabs>
        <w:autoSpaceDE/>
        <w:autoSpaceDN/>
        <w:adjustRightInd/>
        <w:spacing w:line="520" w:lineRule="exact"/>
        <w:ind w:firstLineChars="0"/>
        <w:rPr>
          <w:rFonts w:ascii="Times New Roman" w:hAnsi="Times New Roman" w:eastAsia="宋体"/>
          <w:color w:val="auto"/>
          <w:sz w:val="22"/>
          <w:szCs w:val="22"/>
          <w:highlight w:val="none"/>
        </w:rPr>
      </w:pPr>
      <w:r>
        <w:rPr>
          <w:rFonts w:ascii="Times New Roman" w:hAnsi="Times New Roman" w:eastAsia="宋体"/>
          <w:color w:val="auto"/>
          <w:kern w:val="2"/>
          <w:sz w:val="22"/>
          <w:szCs w:val="22"/>
          <w:highlight w:val="none"/>
        </w:rPr>
        <w:t xml:space="preserve">3.2 </w:t>
      </w:r>
      <w:r>
        <w:rPr>
          <w:rFonts w:ascii="Times New Roman" w:hAnsi="Times New Roman" w:eastAsia="宋体"/>
          <w:color w:val="auto"/>
          <w:sz w:val="22"/>
          <w:szCs w:val="22"/>
          <w:highlight w:val="none"/>
        </w:rPr>
        <w:t>初步评审</w:t>
      </w:r>
    </w:p>
    <w:p>
      <w:pPr>
        <w:pStyle w:val="24"/>
        <w:tabs>
          <w:tab w:val="left" w:pos="900"/>
        </w:tabs>
        <w:autoSpaceDE/>
        <w:autoSpaceDN/>
        <w:adjustRightInd/>
        <w:spacing w:line="520" w:lineRule="exact"/>
        <w:ind w:firstLineChars="0"/>
        <w:rPr>
          <w:rFonts w:ascii="Times New Roman" w:hAnsi="Times New Roman" w:eastAsia="宋体"/>
          <w:color w:val="auto"/>
          <w:kern w:val="2"/>
          <w:sz w:val="22"/>
          <w:szCs w:val="22"/>
          <w:highlight w:val="none"/>
        </w:rPr>
      </w:pPr>
      <w:r>
        <w:rPr>
          <w:rFonts w:ascii="Times New Roman" w:hAnsi="Times New Roman" w:eastAsia="宋体"/>
          <w:color w:val="auto"/>
          <w:sz w:val="22"/>
          <w:szCs w:val="22"/>
          <w:highlight w:val="none"/>
        </w:rPr>
        <w:t>3.2.1初步评审的程序</w:t>
      </w:r>
      <w:r>
        <w:rPr>
          <w:rFonts w:ascii="Times New Roman" w:hAnsi="Times New Roman" w:eastAsia="宋体"/>
          <w:color w:val="auto"/>
          <w:kern w:val="2"/>
          <w:sz w:val="22"/>
          <w:szCs w:val="22"/>
          <w:highlight w:val="none"/>
        </w:rPr>
        <w:t>：</w:t>
      </w:r>
      <w:r>
        <w:rPr>
          <w:rFonts w:hint="eastAsia" w:ascii="宋体" w:hAnsi="宋体" w:eastAsia="宋体" w:cs="宋体"/>
          <w:color w:val="auto"/>
          <w:kern w:val="2"/>
          <w:sz w:val="22"/>
          <w:szCs w:val="22"/>
          <w:highlight w:val="none"/>
        </w:rPr>
        <w:t>⑴</w:t>
      </w:r>
      <w:r>
        <w:rPr>
          <w:rFonts w:ascii="Times New Roman" w:hAnsi="Times New Roman" w:eastAsia="宋体"/>
          <w:color w:val="auto"/>
          <w:kern w:val="2"/>
          <w:sz w:val="22"/>
          <w:szCs w:val="22"/>
          <w:highlight w:val="none"/>
        </w:rPr>
        <w:t xml:space="preserve">根据招标文件逐项审查投标文件，进行形式评审、资格评审、响应性评审等，判断投标是否为废标（或不合格投标人）；  </w:t>
      </w:r>
      <w:r>
        <w:rPr>
          <w:rFonts w:ascii="Times New Roman" w:hAnsi="Times New Roman" w:eastAsia="宋体"/>
          <w:color w:val="auto"/>
          <w:sz w:val="22"/>
          <w:szCs w:val="22"/>
          <w:highlight w:val="none"/>
        </w:rPr>
        <w:t xml:space="preserve"> </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hint="eastAsia" w:ascii="宋体" w:hAnsi="宋体" w:cs="宋体"/>
          <w:color w:val="auto"/>
          <w:sz w:val="22"/>
          <w:szCs w:val="22"/>
          <w:highlight w:val="none"/>
        </w:rPr>
        <w:t>⑵</w:t>
      </w:r>
      <w:r>
        <w:rPr>
          <w:rFonts w:ascii="Times New Roman" w:hAnsi="Times New Roman"/>
          <w:color w:val="auto"/>
          <w:sz w:val="22"/>
          <w:szCs w:val="22"/>
          <w:highlight w:val="none"/>
        </w:rPr>
        <w:t>书面要求投标人对投标文件中的内容作必要的澄清、说明或者补正，书面要求投标文件中存在细微偏差的投标人在评标结束前予以补正；</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hint="eastAsia" w:ascii="宋体" w:hAnsi="宋体" w:cs="宋体"/>
          <w:color w:val="auto"/>
          <w:sz w:val="22"/>
          <w:szCs w:val="22"/>
          <w:highlight w:val="none"/>
        </w:rPr>
        <w:t>⑶</w:t>
      </w:r>
      <w:r>
        <w:rPr>
          <w:rFonts w:ascii="Times New Roman" w:hAnsi="Times New Roman"/>
          <w:color w:val="auto"/>
          <w:sz w:val="22"/>
          <w:szCs w:val="22"/>
          <w:highlight w:val="none"/>
        </w:rPr>
        <w:t>确定不合格投标人和进入详细评审比较阶段的投标人名单。</w:t>
      </w:r>
    </w:p>
    <w:p>
      <w:pPr>
        <w:spacing w:line="5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3.2.2形式评审</w:t>
      </w:r>
    </w:p>
    <w:p>
      <w:pPr>
        <w:spacing w:line="5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形式评审是评标委员会根据法律、法规、规章及招标文件规定，对投标文件的形式进行检查和评价（见附表2）。有下述情况之一的，评标委员会应当认定其为不合格投标人：</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（1）投标文件无企业公章的，无企业法定代表人（或法定代表人授权的委托代理人）签字或盖章的。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 xml:space="preserve">（2）投标文件未按规定的格式填写的，内容不全或关键字迹模糊、无法辨认的。 </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 xml:space="preserve">（3）投标人递交两份以上（含两份）内容不同的投标文件的；在投标文件中对同一招标项目有两个以上（含两个）投标报价的。 </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（4）联合体投标未附有效的联合体各方共同投标协议的。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（5）其它不符合法律法规和招标文件相关形式规定的。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3.2.3资格评审</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资格评审是评标委员会根据法律、法规、规章及招标文件等规定，对投标文件的资格文件、投标担保等进行检查和评价（见附表3）。有下述情况之一的，评标委员会应当认定其为不合格投标人：</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（1）评标委员会发现投标人以他人名义投标的；串通投标的；以行贿手段谋取中标或者不如实提供有关情况、文件、证明等资料及以其他弄虚作假方式投标的；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（2）投标人拒不按照要求对投标文件进行澄清、说明或者补正的；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（3）没有按照招标文件的规定提供投标担保或者所提供的投标担保有瑕疵的；投标人不能提供合法的、真实的材料证明其投标文件的真实性或证明其为合格投标人的；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（4）投标人资格条件不符合国家有关规定，不符合招标文件要求的；其它不符合法律法规资格规定的。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对串通投标行为的认定和处理，按国家和省有关规定执行。</w:t>
      </w:r>
    </w:p>
    <w:p>
      <w:pPr>
        <w:tabs>
          <w:tab w:val="left" w:pos="900"/>
          <w:tab w:val="left" w:pos="1440"/>
        </w:tabs>
        <w:spacing w:line="5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3.2.4响应性评审</w:t>
      </w:r>
    </w:p>
    <w:p>
      <w:pPr>
        <w:tabs>
          <w:tab w:val="left" w:pos="900"/>
          <w:tab w:val="left" w:pos="1440"/>
        </w:tabs>
        <w:spacing w:line="5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响应性评审是评标委员会审查每一投标文件是否对招标文件提出的所有实质性要求和条件作出响应（见附表4）。有下述情况之一的，评标委员会应当认定其为不合格投标人：</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（1）投标文件载明的投标范围不符合（大于除外）招标文件规定的招标范围的；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（2）投标报价不符合招标文件规定的；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（3）投标文件载明的监理服务期低于招标文件规定的，或投标文件载明的工期高于招标文件规定且无正当理由说明的；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（4）投标文件载明的质量标准低于招标文件规定的；投标文件载明的缺陷责任期监理服务承诺不符合招标文件要求的；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（5）现场监理部关键岗位人员没有按规定配备的；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（6）其他未能实质响应招标文件提出的实质性要求和条件的。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3.2.5投标文件的澄清、说明或补正：在初步评审和详细评审中，评标委员会应当就投标文件中存在不明确或细微偏差的内容，要求投标人予以澄清、说明或者补正。澄清、说明或者补正应在评标结束前以书面方式提交，并不得超出投标文件范围或者改变投标文件的实质性内容，澄清、说明或者补正的书面材料应当由投标人的法定代表人或其授权的委托代理人签字或盖章。评标委员会不得接受投标人主动提出的澄清、说明或补正。问题澄清通知见附表5，问题的澄清、说明或补正见附表6。</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3.2.6评标委员会完成初步评审所有内容后，应当作出初步评审结论，分别确定不合格投标人（见附表7）和进入详细评审阶段的投标人（见附表8）。</w:t>
      </w:r>
    </w:p>
    <w:p>
      <w:pPr>
        <w:tabs>
          <w:tab w:val="left" w:pos="900"/>
          <w:tab w:val="left" w:pos="1440"/>
        </w:tabs>
        <w:spacing w:line="5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3.3详细评审</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3.3.1详细评审的程序：</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（1）对监理大纲评审计分（见附表10）；</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（2）对现场监理部机构（见附表11）和信誉（见附表12）评审计分；</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（3）对投标报价（见附表13）评审计分；</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（4）澄清、说明或补正；</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（5）计算各投标人的综合得分（见附表14）；</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（6）按综合得分从高至低确定投标人的排序（见附表15）。</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3.3.2本工程采用综合评估法，对评审项目的分值没有区间的由评标委员会集体评议评分；对评审项目的分值有区间的由评标委员会集体评议后评标委员会成员独自评分。有下列情况之一者，该评标因素的评审计分为无效分：</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（1）单项评审计分高出规定最高分或低于规定最低分的；</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（2）同一项目有两个或两个以上评审计分的。</w:t>
      </w:r>
    </w:p>
    <w:p>
      <w:pPr>
        <w:pStyle w:val="24"/>
        <w:tabs>
          <w:tab w:val="left" w:pos="900"/>
        </w:tabs>
        <w:autoSpaceDE/>
        <w:autoSpaceDN/>
        <w:adjustRightInd/>
        <w:spacing w:line="520" w:lineRule="exact"/>
        <w:ind w:firstLineChars="0"/>
        <w:rPr>
          <w:rFonts w:ascii="Times New Roman" w:hAnsi="Times New Roman" w:eastAsia="宋体"/>
          <w:color w:val="auto"/>
          <w:sz w:val="22"/>
          <w:szCs w:val="22"/>
          <w:highlight w:val="none"/>
        </w:rPr>
      </w:pPr>
      <w:r>
        <w:rPr>
          <w:rFonts w:ascii="Times New Roman" w:hAnsi="Times New Roman" w:eastAsia="宋体"/>
          <w:color w:val="auto"/>
          <w:kern w:val="2"/>
          <w:sz w:val="22"/>
          <w:szCs w:val="22"/>
          <w:highlight w:val="none"/>
        </w:rPr>
        <w:t>3.4推荐中标候选人与定标</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本工程采用综合评估法，评标委员会应当根据详细评审的结果对投标人进行排序，2个以上投标人综合得分相同时，按照其现场监理部机构得分由高至低的顺序进行排序；现场监理部机构得分亦相同时，由评标委员会投票决定排序。由评标委员会推荐中标候选人的，评标委员会应当按照投标人排序推荐1—3个中标候选人（见附表16）。</w:t>
      </w:r>
    </w:p>
    <w:p>
      <w:pPr>
        <w:pStyle w:val="24"/>
        <w:tabs>
          <w:tab w:val="left" w:pos="900"/>
        </w:tabs>
        <w:autoSpaceDE/>
        <w:autoSpaceDN/>
        <w:adjustRightInd/>
        <w:spacing w:line="520" w:lineRule="exact"/>
        <w:ind w:firstLineChars="0"/>
        <w:rPr>
          <w:rFonts w:ascii="Times New Roman" w:hAnsi="Times New Roman" w:eastAsia="宋体"/>
          <w:color w:val="auto"/>
          <w:sz w:val="22"/>
          <w:szCs w:val="22"/>
          <w:highlight w:val="none"/>
        </w:rPr>
      </w:pPr>
      <w:r>
        <w:rPr>
          <w:rFonts w:ascii="Times New Roman" w:hAnsi="Times New Roman" w:eastAsia="宋体"/>
          <w:color w:val="auto"/>
          <w:kern w:val="2"/>
          <w:sz w:val="22"/>
          <w:szCs w:val="22"/>
          <w:highlight w:val="none"/>
        </w:rPr>
        <w:t>3.5评标委员会提交书面评标报告</w:t>
      </w:r>
    </w:p>
    <w:p>
      <w:pPr>
        <w:spacing w:line="5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3.5.1评标委员会完成所有评标工作后，应当按照评标报告格式（附件二）向招标人提交书面评标报告。</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3.5.2评标报告应当包括以下内容：</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（1）基本情况和数据表；</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（2）评标委员会成员名单；</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（3）开标记录；</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（4）评标标准、评标方法或者评标因素一览表；</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（5）澄清、说明或补正事项纪要；</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（6）符合要求的投标一览表；</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（7）废标情况说明；</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（8）投标人得分一览表；</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（9）经评审的投标人排序；</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（10）推荐的中标候选人名单与签订合同前要处理的事宜。</w:t>
      </w:r>
    </w:p>
    <w:p>
      <w:pPr>
        <w:widowControl/>
        <w:shd w:val="clear" w:color="auto" w:fill="FFFFFF"/>
        <w:spacing w:line="520" w:lineRule="exact"/>
        <w:ind w:firstLine="440" w:firstLineChars="200"/>
        <w:jc w:val="left"/>
        <w:rPr>
          <w:rFonts w:ascii="Times New Roman" w:hAnsi="Times New Roman"/>
          <w:color w:val="auto"/>
          <w:sz w:val="22"/>
          <w:szCs w:val="22"/>
          <w:highlight w:val="none"/>
        </w:rPr>
      </w:pPr>
      <w:r>
        <w:rPr>
          <w:rFonts w:ascii="Times New Roman" w:hAnsi="Times New Roman"/>
          <w:color w:val="auto"/>
          <w:sz w:val="22"/>
          <w:szCs w:val="22"/>
          <w:highlight w:val="none"/>
        </w:rPr>
        <w:t>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pPr>
        <w:pStyle w:val="4"/>
        <w:tabs>
          <w:tab w:val="left" w:pos="540"/>
          <w:tab w:val="left" w:pos="720"/>
        </w:tabs>
        <w:spacing w:line="520" w:lineRule="exact"/>
        <w:ind w:firstLine="330"/>
        <w:jc w:val="center"/>
        <w:rPr>
          <w:rFonts w:ascii="Times New Roman" w:hAnsi="Times New Roman"/>
          <w:color w:val="auto"/>
          <w:sz w:val="22"/>
          <w:szCs w:val="22"/>
          <w:highlight w:val="none"/>
        </w:rPr>
      </w:pPr>
    </w:p>
    <w:p>
      <w:pPr>
        <w:pStyle w:val="4"/>
        <w:tabs>
          <w:tab w:val="left" w:pos="540"/>
          <w:tab w:val="left" w:pos="720"/>
        </w:tabs>
        <w:spacing w:line="520" w:lineRule="exact"/>
        <w:ind w:firstLine="330"/>
        <w:jc w:val="center"/>
        <w:rPr>
          <w:rFonts w:ascii="Times New Roman" w:hAnsi="Times New Roman"/>
          <w:color w:val="auto"/>
          <w:sz w:val="22"/>
          <w:szCs w:val="22"/>
          <w:highlight w:val="none"/>
        </w:rPr>
      </w:pPr>
    </w:p>
    <w:p>
      <w:pPr>
        <w:pStyle w:val="4"/>
        <w:tabs>
          <w:tab w:val="left" w:pos="540"/>
          <w:tab w:val="left" w:pos="720"/>
        </w:tabs>
        <w:spacing w:line="520" w:lineRule="exact"/>
        <w:ind w:firstLine="330"/>
        <w:jc w:val="center"/>
        <w:rPr>
          <w:rFonts w:ascii="Times New Roman" w:hAnsi="Times New Roman"/>
          <w:color w:val="auto"/>
          <w:sz w:val="22"/>
          <w:szCs w:val="22"/>
          <w:highlight w:val="none"/>
        </w:rPr>
      </w:pPr>
    </w:p>
    <w:p>
      <w:pPr>
        <w:widowControl/>
        <w:shd w:val="clear" w:color="auto" w:fill="FFFFFF"/>
        <w:spacing w:line="520" w:lineRule="exact"/>
        <w:jc w:val="left"/>
        <w:rPr>
          <w:rFonts w:ascii="Times New Roman" w:hAnsi="Times New Roman"/>
          <w:b/>
          <w:color w:val="auto"/>
          <w:kern w:val="0"/>
          <w:sz w:val="28"/>
          <w:szCs w:val="28"/>
          <w:highlight w:val="none"/>
        </w:rPr>
      </w:pPr>
      <w:r>
        <w:rPr>
          <w:rFonts w:ascii="Times New Roman" w:hAnsi="Times New Roman"/>
          <w:color w:val="auto"/>
          <w:kern w:val="0"/>
          <w:sz w:val="22"/>
          <w:szCs w:val="22"/>
          <w:highlight w:val="none"/>
        </w:rPr>
        <w:br w:type="page"/>
      </w:r>
      <w:r>
        <w:rPr>
          <w:rFonts w:ascii="Times New Roman" w:hAnsi="Times New Roman"/>
          <w:b/>
          <w:color w:val="auto"/>
          <w:kern w:val="0"/>
          <w:sz w:val="28"/>
          <w:szCs w:val="28"/>
          <w:highlight w:val="none"/>
        </w:rPr>
        <w:t>附件一：《评审内容和标准》</w:t>
      </w:r>
    </w:p>
    <w:p>
      <w:pPr>
        <w:widowControl/>
        <w:shd w:val="clear" w:color="auto" w:fill="FFFFFF"/>
        <w:spacing w:line="480" w:lineRule="auto"/>
        <w:jc w:val="left"/>
        <w:rPr>
          <w:rFonts w:ascii="Times New Roman" w:hAnsi="Times New Roman"/>
          <w:b/>
          <w:color w:val="auto"/>
          <w:kern w:val="0"/>
          <w:sz w:val="24"/>
          <w:highlight w:val="none"/>
        </w:rPr>
      </w:pPr>
      <w:r>
        <w:rPr>
          <w:rFonts w:ascii="Times New Roman" w:hAnsi="Times New Roman"/>
          <w:b/>
          <w:color w:val="auto"/>
          <w:kern w:val="0"/>
          <w:sz w:val="24"/>
          <w:highlight w:val="none"/>
        </w:rPr>
        <w:t>附表1</w:t>
      </w:r>
    </w:p>
    <w:p>
      <w:pPr>
        <w:widowControl/>
        <w:shd w:val="clear" w:color="auto" w:fill="FFFFFF"/>
        <w:spacing w:line="360" w:lineRule="exact"/>
        <w:jc w:val="center"/>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基本情况和数据表</w:t>
      </w:r>
    </w:p>
    <w:tbl>
      <w:tblPr>
        <w:tblStyle w:val="18"/>
        <w:tblW w:w="954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4"/>
        <w:gridCol w:w="3304"/>
        <w:gridCol w:w="55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12" w:space="0"/>
              <w:left w:val="single" w:color="auto" w:sz="12" w:space="0"/>
              <w:bottom w:val="single" w:color="auto" w:sz="6" w:space="0"/>
              <w:right w:val="single" w:color="auto" w:sz="6" w:space="0"/>
            </w:tcBorders>
            <w:vAlign w:val="center"/>
          </w:tcPr>
          <w:p>
            <w:pPr>
              <w:widowControl/>
              <w:spacing w:line="300" w:lineRule="exact"/>
              <w:ind w:left="-50" w:leftChars="-24" w:right="-50" w:rightChars="-24"/>
              <w:jc w:val="center"/>
              <w:rPr>
                <w:rFonts w:ascii="Times New Roman" w:hAnsi="Times New Roman"/>
                <w:color w:val="auto"/>
                <w:kern w:val="0"/>
                <w:szCs w:val="21"/>
                <w:highlight w:val="none"/>
              </w:rPr>
            </w:pPr>
            <w:r>
              <w:rPr>
                <w:rFonts w:ascii="Times New Roman" w:hAnsi="Times New Roman"/>
                <w:color w:val="auto"/>
                <w:kern w:val="0"/>
                <w:szCs w:val="21"/>
                <w:highlight w:val="none"/>
              </w:rPr>
              <w:t>序号</w:t>
            </w:r>
          </w:p>
        </w:tc>
        <w:tc>
          <w:tcPr>
            <w:tcW w:w="3304" w:type="dxa"/>
            <w:tcBorders>
              <w:top w:val="single" w:color="auto" w:sz="12" w:space="0"/>
              <w:left w:val="single" w:color="auto" w:sz="6"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名    称</w:t>
            </w:r>
          </w:p>
        </w:tc>
        <w:tc>
          <w:tcPr>
            <w:tcW w:w="5598" w:type="dxa"/>
            <w:tcBorders>
              <w:top w:val="single" w:color="auto" w:sz="12" w:space="0"/>
              <w:left w:val="single" w:color="auto" w:sz="6" w:space="0"/>
              <w:bottom w:val="single" w:color="auto" w:sz="6" w:space="0"/>
              <w:right w:val="single" w:color="auto" w:sz="12"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招标项目名称</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ind w:left="42"/>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建设地点</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本次招标的工程项目投资额</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ind w:left="42"/>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结构类型</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ind w:left="42"/>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5</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建设规模（面积、高度、跨度等）</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ind w:left="42"/>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6</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招标范围</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7</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招标方式</w:t>
            </w:r>
          </w:p>
        </w:tc>
        <w:tc>
          <w:tcPr>
            <w:tcW w:w="5598" w:type="dxa"/>
            <w:tcBorders>
              <w:top w:val="single" w:color="auto" w:sz="6" w:space="0"/>
              <w:left w:val="single" w:color="auto" w:sz="6" w:space="0"/>
              <w:bottom w:val="single" w:color="auto" w:sz="6" w:space="0"/>
              <w:right w:val="single" w:color="auto" w:sz="12" w:space="0"/>
            </w:tcBorders>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8</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投标截止时间</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 xml:space="preserve">       年  月  日</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午   时  分（北京时间）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9</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投标文件提交地点</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10</w:t>
            </w:r>
          </w:p>
        </w:tc>
        <w:tc>
          <w:tcPr>
            <w:tcW w:w="3304" w:type="dxa"/>
            <w:tcBorders>
              <w:top w:val="single" w:color="auto" w:sz="6" w:space="0"/>
              <w:left w:val="single" w:color="auto" w:sz="6" w:space="0"/>
              <w:bottom w:val="single" w:color="auto" w:sz="6" w:space="0"/>
              <w:right w:val="single" w:color="auto" w:sz="6" w:space="0"/>
            </w:tcBorders>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开标时间</w:t>
            </w:r>
          </w:p>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开标地址</w:t>
            </w:r>
          </w:p>
        </w:tc>
        <w:tc>
          <w:tcPr>
            <w:tcW w:w="5598" w:type="dxa"/>
            <w:tcBorders>
              <w:top w:val="single" w:color="auto" w:sz="6" w:space="0"/>
              <w:left w:val="single" w:color="auto" w:sz="6" w:space="0"/>
              <w:bottom w:val="single" w:color="auto" w:sz="6" w:space="0"/>
              <w:right w:val="single" w:color="auto" w:sz="12" w:space="0"/>
            </w:tcBorders>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 xml:space="preserve">       年  月  日 </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午  时  分（北京时间）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11</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left="2528" w:hanging="2528"/>
              <w:jc w:val="left"/>
              <w:rPr>
                <w:rFonts w:ascii="Times New Roman" w:hAnsi="Times New Roman"/>
                <w:color w:val="auto"/>
                <w:kern w:val="0"/>
                <w:szCs w:val="21"/>
                <w:highlight w:val="none"/>
              </w:rPr>
            </w:pPr>
            <w:r>
              <w:rPr>
                <w:rFonts w:ascii="Times New Roman" w:hAnsi="Times New Roman"/>
                <w:color w:val="auto"/>
                <w:kern w:val="0"/>
                <w:szCs w:val="21"/>
                <w:highlight w:val="none"/>
              </w:rPr>
              <w:t>招标文件中规定的企业资质</w:t>
            </w:r>
          </w:p>
          <w:p>
            <w:pPr>
              <w:widowControl/>
              <w:spacing w:line="300" w:lineRule="exact"/>
              <w:ind w:left="2528" w:hanging="2528"/>
              <w:jc w:val="left"/>
              <w:rPr>
                <w:rFonts w:ascii="Times New Roman" w:hAnsi="Times New Roman"/>
                <w:color w:val="auto"/>
                <w:kern w:val="0"/>
                <w:szCs w:val="21"/>
                <w:highlight w:val="none"/>
              </w:rPr>
            </w:pPr>
            <w:r>
              <w:rPr>
                <w:rFonts w:ascii="Times New Roman" w:hAnsi="Times New Roman"/>
                <w:color w:val="auto"/>
                <w:kern w:val="0"/>
                <w:szCs w:val="21"/>
                <w:highlight w:val="none"/>
              </w:rPr>
              <w:t>和总监理工程师资格要求</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 xml:space="preserve">专业 </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级以上（含</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级）企业；</w:t>
            </w:r>
          </w:p>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总监理工程师资格要求</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专业</w:t>
            </w:r>
            <w:r>
              <w:rPr>
                <w:rFonts w:ascii="Times New Roman" w:hAnsi="Times New Roman"/>
                <w:color w:val="auto"/>
                <w:kern w:val="0"/>
                <w:szCs w:val="21"/>
                <w:highlight w:val="none"/>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7"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12</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投标有效期</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 xml:space="preserve">           </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13</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招标文件要求监理服务期</w:t>
            </w:r>
          </w:p>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及计划开、竣工日期</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jc w:val="left"/>
              <w:rPr>
                <w:rFonts w:ascii="Times New Roman" w:hAnsi="Times New Roman"/>
                <w:color w:val="auto"/>
                <w:kern w:val="0"/>
                <w:szCs w:val="21"/>
                <w:highlight w:val="none"/>
                <w:u w:val="single"/>
              </w:rPr>
            </w:pPr>
            <w:r>
              <w:rPr>
                <w:rFonts w:ascii="Times New Roman" w:hAnsi="Times New Roman"/>
                <w:color w:val="auto"/>
                <w:kern w:val="0"/>
                <w:szCs w:val="21"/>
                <w:highlight w:val="none"/>
              </w:rPr>
              <w:t>监理服务期：</w:t>
            </w:r>
            <w:r>
              <w:rPr>
                <w:rFonts w:ascii="Times New Roman" w:hAnsi="Times New Roman"/>
                <w:color w:val="auto"/>
                <w:kern w:val="0"/>
                <w:szCs w:val="21"/>
                <w:highlight w:val="none"/>
                <w:u w:val="single"/>
              </w:rPr>
              <w:t xml:space="preserve">               </w:t>
            </w:r>
          </w:p>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计划开、竣工日期：</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年</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月</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日开工，</w:t>
            </w:r>
          </w:p>
          <w:p>
            <w:pPr>
              <w:widowControl/>
              <w:spacing w:line="300" w:lineRule="exact"/>
              <w:ind w:left="912"/>
              <w:jc w:val="left"/>
              <w:rPr>
                <w:rFonts w:ascii="Times New Roman" w:hAnsi="Times New Roman"/>
                <w:color w:val="auto"/>
                <w:kern w:val="0"/>
                <w:szCs w:val="21"/>
                <w:highlight w:val="none"/>
              </w:rPr>
            </w:pP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年</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月</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日竣工，共</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日历天。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14</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招标文件的工程质量要求、缺陷责任期监理服务承诺</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ind w:left="912"/>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15</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招标文件中规定的投标须知</w:t>
            </w:r>
          </w:p>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和合同主要条款</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投标须知见第</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章；</w:t>
            </w:r>
          </w:p>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合同主要条款要求按招标文件第</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16</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left="2520" w:hanging="2520"/>
              <w:jc w:val="left"/>
              <w:rPr>
                <w:rFonts w:ascii="Times New Roman" w:hAnsi="Times New Roman"/>
                <w:color w:val="auto"/>
                <w:kern w:val="0"/>
                <w:szCs w:val="21"/>
                <w:highlight w:val="none"/>
              </w:rPr>
            </w:pPr>
            <w:r>
              <w:rPr>
                <w:rFonts w:ascii="Times New Roman" w:hAnsi="Times New Roman"/>
                <w:color w:val="auto"/>
                <w:kern w:val="0"/>
                <w:szCs w:val="21"/>
                <w:highlight w:val="none"/>
              </w:rPr>
              <w:t>评标办法和相关事项</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按省住房和城乡建设厅</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号文中</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 xml:space="preserve"> 办法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jc w:val="center"/>
        </w:trPr>
        <w:tc>
          <w:tcPr>
            <w:tcW w:w="644" w:type="dxa"/>
            <w:tcBorders>
              <w:top w:val="single" w:color="auto" w:sz="6" w:space="0"/>
              <w:left w:val="single" w:color="auto" w:sz="12" w:space="0"/>
              <w:bottom w:val="single" w:color="auto" w:sz="6" w:space="0"/>
              <w:right w:val="single" w:color="auto" w:sz="6" w:space="0"/>
            </w:tcBorders>
            <w:vAlign w:val="center"/>
          </w:tcPr>
          <w:p>
            <w:pPr>
              <w:widowControl/>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17</w:t>
            </w:r>
          </w:p>
        </w:tc>
        <w:tc>
          <w:tcPr>
            <w:tcW w:w="3304"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left="2520" w:hanging="2520"/>
              <w:jc w:val="left"/>
              <w:rPr>
                <w:rFonts w:ascii="Times New Roman" w:hAnsi="Times New Roman"/>
                <w:color w:val="auto"/>
                <w:kern w:val="0"/>
                <w:szCs w:val="21"/>
                <w:highlight w:val="none"/>
              </w:rPr>
            </w:pPr>
            <w:r>
              <w:rPr>
                <w:rFonts w:ascii="Times New Roman" w:hAnsi="Times New Roman"/>
                <w:color w:val="auto"/>
                <w:kern w:val="0"/>
                <w:sz w:val="22"/>
                <w:szCs w:val="20"/>
                <w:highlight w:val="none"/>
              </w:rPr>
              <w:t>最高投标限价</w:t>
            </w:r>
          </w:p>
        </w:tc>
        <w:tc>
          <w:tcPr>
            <w:tcW w:w="5598" w:type="dxa"/>
            <w:tcBorders>
              <w:top w:val="single" w:color="auto" w:sz="6" w:space="0"/>
              <w:left w:val="single" w:color="auto" w:sz="6" w:space="0"/>
              <w:bottom w:val="single" w:color="auto" w:sz="6" w:space="0"/>
              <w:right w:val="single" w:color="auto" w:sz="12" w:space="0"/>
            </w:tcBorders>
            <w:vAlign w:val="center"/>
          </w:tcPr>
          <w:p>
            <w:pPr>
              <w:widowControl/>
              <w:spacing w:line="300" w:lineRule="exact"/>
              <w:jc w:val="center"/>
              <w:rPr>
                <w:rFonts w:ascii="Times New Roman" w:hAnsi="Times New Roman"/>
                <w:color w:val="auto"/>
                <w:kern w:val="0"/>
                <w:szCs w:val="21"/>
                <w:highlight w:val="none"/>
              </w:rPr>
            </w:pPr>
          </w:p>
        </w:tc>
      </w:tr>
    </w:tbl>
    <w:p>
      <w:pPr>
        <w:widowControl/>
        <w:shd w:val="clear" w:color="auto" w:fill="FFFFFF"/>
        <w:spacing w:line="400" w:lineRule="exact"/>
        <w:jc w:val="left"/>
        <w:rPr>
          <w:rFonts w:ascii="Times New Roman" w:hAnsi="Times New Roman"/>
          <w:color w:val="auto"/>
          <w:kern w:val="0"/>
          <w:sz w:val="22"/>
          <w:szCs w:val="20"/>
          <w:highlight w:val="none"/>
        </w:rPr>
      </w:pPr>
    </w:p>
    <w:p>
      <w:pPr>
        <w:widowControl/>
        <w:shd w:val="clear" w:color="auto" w:fill="FFFFFF"/>
        <w:spacing w:line="400" w:lineRule="exact"/>
        <w:jc w:val="left"/>
        <w:rPr>
          <w:rFonts w:ascii="Times New Roman" w:hAnsi="Times New Roman"/>
          <w:color w:val="auto"/>
          <w:kern w:val="0"/>
          <w:sz w:val="22"/>
          <w:szCs w:val="20"/>
          <w:highlight w:val="none"/>
        </w:rPr>
      </w:pPr>
    </w:p>
    <w:p>
      <w:pPr>
        <w:widowControl/>
        <w:shd w:val="clear" w:color="auto" w:fill="FFFFFF"/>
        <w:spacing w:line="400" w:lineRule="exact"/>
        <w:jc w:val="left"/>
        <w:rPr>
          <w:rFonts w:ascii="Times New Roman" w:hAnsi="Times New Roman"/>
          <w:b/>
          <w:color w:val="auto"/>
          <w:kern w:val="0"/>
          <w:sz w:val="24"/>
          <w:highlight w:val="none"/>
        </w:rPr>
      </w:pPr>
      <w:r>
        <w:rPr>
          <w:rFonts w:ascii="Times New Roman" w:hAnsi="Times New Roman"/>
          <w:color w:val="auto"/>
          <w:kern w:val="0"/>
          <w:sz w:val="22"/>
          <w:szCs w:val="20"/>
          <w:highlight w:val="none"/>
        </w:rPr>
        <w:br w:type="page"/>
      </w:r>
      <w:r>
        <w:rPr>
          <w:rFonts w:ascii="Times New Roman" w:hAnsi="Times New Roman"/>
          <w:b/>
          <w:color w:val="auto"/>
          <w:kern w:val="0"/>
          <w:sz w:val="24"/>
          <w:highlight w:val="none"/>
        </w:rPr>
        <w:t>附表2</w:t>
      </w:r>
    </w:p>
    <w:p>
      <w:pPr>
        <w:widowControl/>
        <w:shd w:val="clear" w:color="auto" w:fill="FFFFFF"/>
        <w:spacing w:line="400" w:lineRule="exact"/>
        <w:jc w:val="center"/>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形式评审表</w:t>
      </w:r>
    </w:p>
    <w:tbl>
      <w:tblPr>
        <w:tblStyle w:val="18"/>
        <w:tblW w:w="942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645"/>
        <w:gridCol w:w="4117"/>
        <w:gridCol w:w="786"/>
        <w:gridCol w:w="786"/>
        <w:gridCol w:w="786"/>
        <w:gridCol w:w="7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6" w:type="dxa"/>
            <w:vMerge w:val="restart"/>
            <w:tcBorders>
              <w:top w:val="single" w:color="auto" w:sz="12" w:space="0"/>
              <w:left w:val="single" w:color="auto" w:sz="12" w:space="0"/>
              <w:bottom w:val="single" w:color="auto" w:sz="4" w:space="0"/>
              <w:right w:val="single" w:color="auto" w:sz="4" w:space="0"/>
            </w:tcBorders>
            <w:vAlign w:val="center"/>
          </w:tcPr>
          <w:p>
            <w:pPr>
              <w:widowControl/>
              <w:snapToGrid w:val="0"/>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序号</w:t>
            </w:r>
          </w:p>
        </w:tc>
        <w:tc>
          <w:tcPr>
            <w:tcW w:w="5762" w:type="dxa"/>
            <w:gridSpan w:val="2"/>
            <w:vMerge w:val="restart"/>
            <w:tcBorders>
              <w:top w:val="single" w:color="auto" w:sz="12"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评审因素及评审标准</w:t>
            </w:r>
          </w:p>
        </w:tc>
        <w:tc>
          <w:tcPr>
            <w:tcW w:w="3147" w:type="dxa"/>
            <w:gridSpan w:val="4"/>
            <w:tcBorders>
              <w:top w:val="single" w:color="auto" w:sz="12" w:space="0"/>
              <w:left w:val="single" w:color="auto" w:sz="4" w:space="0"/>
              <w:bottom w:val="single" w:color="auto" w:sz="4" w:space="0"/>
              <w:right w:val="single" w:color="auto" w:sz="12"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投标人名称及评审意见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6" w:type="dxa"/>
            <w:vMerge w:val="continue"/>
            <w:tcBorders>
              <w:top w:val="single" w:color="auto" w:sz="12" w:space="0"/>
              <w:left w:val="single" w:color="auto" w:sz="12" w:space="0"/>
              <w:bottom w:val="single" w:color="auto" w:sz="4" w:space="0"/>
              <w:right w:val="single" w:color="auto" w:sz="4" w:space="0"/>
            </w:tcBorders>
            <w:vAlign w:val="center"/>
          </w:tcPr>
          <w:p>
            <w:pPr>
              <w:widowControl/>
              <w:spacing w:line="400" w:lineRule="exact"/>
              <w:jc w:val="left"/>
              <w:rPr>
                <w:rFonts w:ascii="Times New Roman" w:hAnsi="Times New Roman"/>
                <w:color w:val="auto"/>
                <w:kern w:val="0"/>
                <w:szCs w:val="21"/>
                <w:highlight w:val="none"/>
              </w:rPr>
            </w:pPr>
          </w:p>
        </w:tc>
        <w:tc>
          <w:tcPr>
            <w:tcW w:w="5762" w:type="dxa"/>
            <w:gridSpan w:val="2"/>
            <w:vMerge w:val="continue"/>
            <w:tcBorders>
              <w:top w:val="single" w:color="auto" w:sz="12"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9" w:type="dxa"/>
            <w:tcBorders>
              <w:top w:val="single" w:color="auto" w:sz="4" w:space="0"/>
              <w:left w:val="single" w:color="auto" w:sz="4" w:space="0"/>
              <w:bottom w:val="single" w:color="auto" w:sz="4" w:space="0"/>
              <w:right w:val="single" w:color="auto" w:sz="12" w:space="0"/>
            </w:tcBorders>
            <w:vAlign w:val="center"/>
          </w:tcPr>
          <w:p>
            <w:pPr>
              <w:widowControl/>
              <w:spacing w:line="4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12"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投标人名称</w:t>
            </w:r>
          </w:p>
        </w:tc>
        <w:tc>
          <w:tcPr>
            <w:tcW w:w="4117" w:type="dxa"/>
            <w:tcBorders>
              <w:top w:val="single" w:color="auto" w:sz="4" w:space="0"/>
              <w:left w:val="single" w:color="auto" w:sz="4" w:space="0"/>
              <w:bottom w:val="single" w:color="auto" w:sz="4" w:space="0"/>
              <w:right w:val="single" w:color="auto" w:sz="4" w:space="0"/>
            </w:tcBorders>
            <w:vAlign w:val="center"/>
          </w:tcPr>
          <w:p>
            <w:pPr>
              <w:widowControl/>
              <w:snapToGrid w:val="0"/>
              <w:spacing w:line="4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与营业执照、资质证书、</w:t>
            </w:r>
            <w:r>
              <w:rPr>
                <w:rFonts w:ascii="Times New Roman" w:hAnsi="Times New Roman"/>
                <w:color w:val="auto"/>
                <w:szCs w:val="21"/>
                <w:highlight w:val="none"/>
              </w:rPr>
              <w:t>省外企业入湘登记备案资料</w:t>
            </w:r>
            <w:r>
              <w:rPr>
                <w:rFonts w:ascii="Times New Roman" w:hAnsi="Times New Roman"/>
                <w:color w:val="auto"/>
                <w:kern w:val="0"/>
                <w:szCs w:val="21"/>
                <w:highlight w:val="none"/>
              </w:rPr>
              <w:t xml:space="preserve">（仅省外企业提供）一致 </w:t>
            </w: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9" w:type="dxa"/>
            <w:tcBorders>
              <w:top w:val="single" w:color="auto" w:sz="4" w:space="0"/>
              <w:left w:val="single" w:color="auto" w:sz="4" w:space="0"/>
              <w:bottom w:val="single" w:color="auto" w:sz="4" w:space="0"/>
              <w:right w:val="single" w:color="auto" w:sz="12" w:space="0"/>
            </w:tcBorders>
            <w:vAlign w:val="center"/>
          </w:tcPr>
          <w:p>
            <w:pPr>
              <w:widowControl/>
              <w:spacing w:line="4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12"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投标文件</w:t>
            </w:r>
          </w:p>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签字盖章</w:t>
            </w:r>
          </w:p>
        </w:tc>
        <w:tc>
          <w:tcPr>
            <w:tcW w:w="4117" w:type="dxa"/>
            <w:tcBorders>
              <w:top w:val="single" w:color="auto" w:sz="4" w:space="0"/>
              <w:left w:val="single" w:color="auto" w:sz="4" w:space="0"/>
              <w:bottom w:val="single" w:color="auto" w:sz="4" w:space="0"/>
              <w:right w:val="single" w:color="auto" w:sz="4" w:space="0"/>
            </w:tcBorders>
            <w:vAlign w:val="center"/>
          </w:tcPr>
          <w:p>
            <w:pPr>
              <w:widowControl/>
              <w:snapToGrid w:val="0"/>
              <w:spacing w:line="4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有法定代表人或其委托代理人签字（或盖章）并加盖单位章</w:t>
            </w: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9" w:type="dxa"/>
            <w:tcBorders>
              <w:top w:val="single" w:color="auto" w:sz="4" w:space="0"/>
              <w:left w:val="single" w:color="auto" w:sz="4" w:space="0"/>
              <w:bottom w:val="single" w:color="auto" w:sz="4" w:space="0"/>
              <w:right w:val="single" w:color="auto" w:sz="12" w:space="0"/>
            </w:tcBorders>
            <w:vAlign w:val="center"/>
          </w:tcPr>
          <w:p>
            <w:pPr>
              <w:widowControl/>
              <w:spacing w:line="4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12"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投标文件格式</w:t>
            </w:r>
          </w:p>
        </w:tc>
        <w:tc>
          <w:tcPr>
            <w:tcW w:w="4117" w:type="dxa"/>
            <w:tcBorders>
              <w:top w:val="single" w:color="auto" w:sz="4" w:space="0"/>
              <w:left w:val="single" w:color="auto" w:sz="4" w:space="0"/>
              <w:bottom w:val="single" w:color="auto" w:sz="4" w:space="0"/>
              <w:right w:val="single" w:color="auto" w:sz="4" w:space="0"/>
            </w:tcBorders>
            <w:vAlign w:val="center"/>
          </w:tcPr>
          <w:p>
            <w:pPr>
              <w:widowControl/>
              <w:snapToGrid w:val="0"/>
              <w:spacing w:line="4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符合《招标文件》“投标文件格式”的要求，投标文件按规定格式填写</w:t>
            </w: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9" w:type="dxa"/>
            <w:tcBorders>
              <w:top w:val="single" w:color="auto" w:sz="4" w:space="0"/>
              <w:left w:val="single" w:color="auto" w:sz="4" w:space="0"/>
              <w:bottom w:val="single" w:color="auto" w:sz="4" w:space="0"/>
              <w:right w:val="single" w:color="auto" w:sz="12" w:space="0"/>
            </w:tcBorders>
            <w:vAlign w:val="center"/>
          </w:tcPr>
          <w:p>
            <w:pPr>
              <w:widowControl/>
              <w:spacing w:line="4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12"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投标文件的</w:t>
            </w:r>
          </w:p>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递交情况</w:t>
            </w:r>
          </w:p>
        </w:tc>
        <w:tc>
          <w:tcPr>
            <w:tcW w:w="4117" w:type="dxa"/>
            <w:tcBorders>
              <w:top w:val="single" w:color="auto" w:sz="4" w:space="0"/>
              <w:left w:val="single" w:color="auto" w:sz="4" w:space="0"/>
              <w:bottom w:val="single" w:color="auto" w:sz="4" w:space="0"/>
              <w:right w:val="single" w:color="auto" w:sz="4" w:space="0"/>
            </w:tcBorders>
            <w:vAlign w:val="center"/>
          </w:tcPr>
          <w:p>
            <w:pPr>
              <w:widowControl/>
              <w:snapToGrid w:val="0"/>
              <w:spacing w:line="4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未递交两份（含两份）以上内容不同的投标文件</w:t>
            </w: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9" w:type="dxa"/>
            <w:tcBorders>
              <w:top w:val="single" w:color="auto" w:sz="4" w:space="0"/>
              <w:left w:val="single" w:color="auto" w:sz="4" w:space="0"/>
              <w:bottom w:val="single" w:color="auto" w:sz="4" w:space="0"/>
              <w:right w:val="single" w:color="auto" w:sz="12" w:space="0"/>
            </w:tcBorders>
            <w:vAlign w:val="center"/>
          </w:tcPr>
          <w:p>
            <w:pPr>
              <w:widowControl/>
              <w:spacing w:line="4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12"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5</w:t>
            </w:r>
          </w:p>
        </w:tc>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投标报价唯一</w:t>
            </w:r>
          </w:p>
        </w:tc>
        <w:tc>
          <w:tcPr>
            <w:tcW w:w="4117" w:type="dxa"/>
            <w:tcBorders>
              <w:top w:val="single" w:color="auto" w:sz="4" w:space="0"/>
              <w:left w:val="single" w:color="auto" w:sz="4" w:space="0"/>
              <w:bottom w:val="single" w:color="auto" w:sz="4" w:space="0"/>
              <w:right w:val="single" w:color="auto" w:sz="4" w:space="0"/>
            </w:tcBorders>
            <w:vAlign w:val="center"/>
          </w:tcPr>
          <w:p>
            <w:pPr>
              <w:widowControl/>
              <w:snapToGrid w:val="0"/>
              <w:spacing w:line="4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对同一招标项目无两个以上（含两个）投标报价</w:t>
            </w: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9" w:type="dxa"/>
            <w:tcBorders>
              <w:top w:val="single" w:color="auto" w:sz="4" w:space="0"/>
              <w:left w:val="single" w:color="auto" w:sz="4" w:space="0"/>
              <w:bottom w:val="single" w:color="auto" w:sz="4" w:space="0"/>
              <w:right w:val="single" w:color="auto" w:sz="12" w:space="0"/>
            </w:tcBorders>
            <w:vAlign w:val="center"/>
          </w:tcPr>
          <w:p>
            <w:pPr>
              <w:widowControl/>
              <w:spacing w:line="4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12"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6</w:t>
            </w:r>
          </w:p>
        </w:tc>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其他</w:t>
            </w:r>
          </w:p>
        </w:tc>
        <w:tc>
          <w:tcPr>
            <w:tcW w:w="4117" w:type="dxa"/>
            <w:tcBorders>
              <w:top w:val="single" w:color="auto" w:sz="4" w:space="0"/>
              <w:left w:val="single" w:color="auto" w:sz="4" w:space="0"/>
              <w:bottom w:val="single" w:color="auto" w:sz="4" w:space="0"/>
              <w:right w:val="single" w:color="auto" w:sz="4" w:space="0"/>
            </w:tcBorders>
            <w:vAlign w:val="center"/>
          </w:tcPr>
          <w:p>
            <w:pPr>
              <w:widowControl/>
              <w:snapToGrid w:val="0"/>
              <w:spacing w:line="4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投标人没有其它不符合法律法规及招标文件相关形式规定的情况</w:t>
            </w: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9" w:type="dxa"/>
            <w:tcBorders>
              <w:top w:val="single" w:color="auto" w:sz="4" w:space="0"/>
              <w:left w:val="single" w:color="auto" w:sz="4" w:space="0"/>
              <w:bottom w:val="single" w:color="auto" w:sz="4" w:space="0"/>
              <w:right w:val="single" w:color="auto" w:sz="12" w:space="0"/>
            </w:tcBorders>
            <w:vAlign w:val="center"/>
          </w:tcPr>
          <w:p>
            <w:pPr>
              <w:widowControl/>
              <w:spacing w:line="4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12" w:space="0"/>
              <w:bottom w:val="single" w:color="auto" w:sz="12"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7</w:t>
            </w:r>
          </w:p>
        </w:tc>
        <w:tc>
          <w:tcPr>
            <w:tcW w:w="5762" w:type="dxa"/>
            <w:gridSpan w:val="2"/>
            <w:tcBorders>
              <w:top w:val="single" w:color="auto" w:sz="4" w:space="0"/>
              <w:left w:val="single" w:color="auto" w:sz="4" w:space="0"/>
              <w:bottom w:val="single" w:color="auto" w:sz="12" w:space="0"/>
              <w:right w:val="single" w:color="auto" w:sz="4" w:space="0"/>
            </w:tcBorders>
            <w:vAlign w:val="center"/>
          </w:tcPr>
          <w:p>
            <w:pPr>
              <w:widowControl/>
              <w:snapToGrid w:val="0"/>
              <w:spacing w:line="4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结论（合格或不合格）</w:t>
            </w:r>
          </w:p>
        </w:tc>
        <w:tc>
          <w:tcPr>
            <w:tcW w:w="786" w:type="dxa"/>
            <w:tcBorders>
              <w:top w:val="single" w:color="auto" w:sz="4" w:space="0"/>
              <w:left w:val="single" w:color="auto" w:sz="4" w:space="0"/>
              <w:bottom w:val="single" w:color="auto" w:sz="12"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12"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6" w:type="dxa"/>
            <w:tcBorders>
              <w:top w:val="single" w:color="auto" w:sz="4" w:space="0"/>
              <w:left w:val="single" w:color="auto" w:sz="4" w:space="0"/>
              <w:bottom w:val="single" w:color="auto" w:sz="12" w:space="0"/>
              <w:right w:val="single" w:color="auto" w:sz="4" w:space="0"/>
            </w:tcBorders>
            <w:vAlign w:val="center"/>
          </w:tcPr>
          <w:p>
            <w:pPr>
              <w:widowControl/>
              <w:spacing w:line="400" w:lineRule="exact"/>
              <w:jc w:val="center"/>
              <w:rPr>
                <w:rFonts w:ascii="Times New Roman" w:hAnsi="Times New Roman"/>
                <w:color w:val="auto"/>
                <w:kern w:val="0"/>
                <w:szCs w:val="21"/>
                <w:highlight w:val="none"/>
              </w:rPr>
            </w:pPr>
          </w:p>
        </w:tc>
        <w:tc>
          <w:tcPr>
            <w:tcW w:w="789" w:type="dxa"/>
            <w:tcBorders>
              <w:top w:val="single" w:color="auto" w:sz="4" w:space="0"/>
              <w:left w:val="single" w:color="auto" w:sz="4" w:space="0"/>
              <w:bottom w:val="single" w:color="auto" w:sz="12" w:space="0"/>
              <w:right w:val="single" w:color="auto" w:sz="12" w:space="0"/>
            </w:tcBorders>
            <w:vAlign w:val="center"/>
          </w:tcPr>
          <w:p>
            <w:pPr>
              <w:widowControl/>
              <w:spacing w:line="400" w:lineRule="exact"/>
              <w:jc w:val="center"/>
              <w:rPr>
                <w:rFonts w:ascii="Times New Roman" w:hAnsi="Times New Roman"/>
                <w:color w:val="auto"/>
                <w:kern w:val="0"/>
                <w:szCs w:val="21"/>
                <w:highlight w:val="none"/>
              </w:rPr>
            </w:pPr>
          </w:p>
        </w:tc>
      </w:tr>
    </w:tbl>
    <w:p>
      <w:pPr>
        <w:widowControl/>
        <w:shd w:val="clear" w:color="auto" w:fill="FFFFFF"/>
        <w:spacing w:line="480" w:lineRule="auto"/>
        <w:jc w:val="left"/>
        <w:rPr>
          <w:rFonts w:ascii="Times New Roman" w:hAnsi="Times New Roman"/>
          <w:color w:val="auto"/>
          <w:kern w:val="0"/>
          <w:sz w:val="24"/>
          <w:highlight w:val="none"/>
        </w:rPr>
      </w:pPr>
      <w:r>
        <w:rPr>
          <w:rFonts w:ascii="Times New Roman" w:hAnsi="Times New Roman"/>
          <w:color w:val="auto"/>
          <w:kern w:val="0"/>
          <w:sz w:val="24"/>
          <w:highlight w:val="none"/>
        </w:rPr>
        <w:t>备注：以上内容合格的打“√”，不合格的打“×”，有一项不合格则结论为不合格。</w:t>
      </w:r>
    </w:p>
    <w:p>
      <w:pPr>
        <w:widowControl/>
        <w:shd w:val="clear" w:color="auto" w:fill="FFFFFF"/>
        <w:spacing w:after="72" w:afterLines="30" w:line="440" w:lineRule="exact"/>
        <w:jc w:val="left"/>
        <w:rPr>
          <w:rFonts w:ascii="Times New Roman" w:hAnsi="Times New Roman"/>
          <w:color w:val="auto"/>
          <w:kern w:val="0"/>
          <w:sz w:val="24"/>
          <w:highlight w:val="none"/>
        </w:rPr>
      </w:pPr>
      <w:r>
        <w:rPr>
          <w:rFonts w:ascii="Times New Roman" w:hAnsi="Times New Roman"/>
          <w:color w:val="auto"/>
          <w:kern w:val="0"/>
          <w:sz w:val="24"/>
          <w:highlight w:val="none"/>
        </w:rPr>
        <w:t>评标委员会全体成员签字/日期：</w:t>
      </w:r>
    </w:p>
    <w:p>
      <w:pPr>
        <w:widowControl/>
        <w:shd w:val="clear" w:color="auto" w:fill="FFFFFF"/>
        <w:jc w:val="left"/>
        <w:rPr>
          <w:rFonts w:ascii="Times New Roman" w:hAnsi="Times New Roman"/>
          <w:color w:val="auto"/>
          <w:sz w:val="20"/>
          <w:szCs w:val="22"/>
          <w:highlight w:val="none"/>
        </w:rPr>
        <w:sectPr>
          <w:pgSz w:w="11907" w:h="16840"/>
          <w:pgMar w:top="1134" w:right="992" w:bottom="1134" w:left="1418" w:header="680" w:footer="567" w:gutter="0"/>
          <w:pgNumType w:fmt="numberInDash"/>
          <w:cols w:space="720" w:num="1"/>
          <w:docGrid w:linePitch="312" w:charSpace="0"/>
        </w:sectPr>
      </w:pPr>
    </w:p>
    <w:p>
      <w:pPr>
        <w:widowControl/>
        <w:shd w:val="clear" w:color="auto" w:fill="FFFFFF"/>
        <w:snapToGrid w:val="0"/>
        <w:spacing w:line="400" w:lineRule="exact"/>
        <w:jc w:val="left"/>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 xml:space="preserve">附表3                       </w:t>
      </w:r>
    </w:p>
    <w:p>
      <w:pPr>
        <w:widowControl/>
        <w:shd w:val="clear" w:color="auto" w:fill="FFFFFF"/>
        <w:snapToGrid w:val="0"/>
        <w:spacing w:line="400" w:lineRule="exact"/>
        <w:jc w:val="center"/>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资格评审表</w:t>
      </w:r>
    </w:p>
    <w:tbl>
      <w:tblPr>
        <w:tblStyle w:val="18"/>
        <w:tblW w:w="9820" w:type="dxa"/>
        <w:tblInd w:w="10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694"/>
        <w:gridCol w:w="1964"/>
        <w:gridCol w:w="4138"/>
        <w:gridCol w:w="455"/>
        <w:gridCol w:w="725"/>
        <w:gridCol w:w="694"/>
        <w:gridCol w:w="6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9" w:hRule="exact"/>
        </w:trPr>
        <w:tc>
          <w:tcPr>
            <w:tcW w:w="456" w:type="dxa"/>
            <w:vMerge w:val="restart"/>
            <w:tcBorders>
              <w:top w:val="single" w:color="auto" w:sz="12"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序号</w:t>
            </w:r>
          </w:p>
        </w:tc>
        <w:tc>
          <w:tcPr>
            <w:tcW w:w="6796" w:type="dxa"/>
            <w:gridSpan w:val="3"/>
            <w:vMerge w:val="restart"/>
            <w:tcBorders>
              <w:top w:val="single" w:color="auto" w:sz="12"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评审因素及评审标准</w:t>
            </w:r>
          </w:p>
        </w:tc>
        <w:tc>
          <w:tcPr>
            <w:tcW w:w="2568" w:type="dxa"/>
            <w:gridSpan w:val="4"/>
            <w:tcBorders>
              <w:top w:val="single" w:color="auto" w:sz="12" w:space="0"/>
              <w:left w:val="single" w:color="auto" w:sz="4" w:space="0"/>
              <w:bottom w:val="single" w:color="auto" w:sz="4" w:space="0"/>
              <w:right w:val="single" w:color="auto" w:sz="12" w:space="0"/>
            </w:tcBorders>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投标人名称及评审意见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7" w:hRule="exact"/>
        </w:trPr>
        <w:tc>
          <w:tcPr>
            <w:tcW w:w="456" w:type="dxa"/>
            <w:vMerge w:val="continue"/>
            <w:tcBorders>
              <w:top w:val="single" w:color="auto" w:sz="12" w:space="0"/>
              <w:left w:val="single" w:color="auto" w:sz="12" w:space="0"/>
              <w:bottom w:val="single" w:color="auto" w:sz="4" w:space="0"/>
              <w:right w:val="single" w:color="auto" w:sz="4" w:space="0"/>
            </w:tcBorders>
            <w:vAlign w:val="center"/>
          </w:tcPr>
          <w:p>
            <w:pPr>
              <w:widowControl/>
              <w:spacing w:line="300" w:lineRule="exact"/>
              <w:jc w:val="left"/>
              <w:rPr>
                <w:rFonts w:ascii="Times New Roman" w:hAnsi="Times New Roman"/>
                <w:color w:val="auto"/>
                <w:kern w:val="0"/>
                <w:szCs w:val="21"/>
                <w:highlight w:val="none"/>
              </w:rPr>
            </w:pPr>
          </w:p>
        </w:tc>
        <w:tc>
          <w:tcPr>
            <w:tcW w:w="6796" w:type="dxa"/>
            <w:gridSpan w:val="3"/>
            <w:vMerge w:val="continue"/>
            <w:tcBorders>
              <w:top w:val="single" w:color="auto" w:sz="12"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color w:val="auto"/>
                <w:kern w:val="0"/>
                <w:szCs w:val="21"/>
                <w:highlight w:val="none"/>
              </w:rPr>
            </w:pP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bookmarkStart w:id="170" w:name="OLE_LINK9"/>
            <w:r>
              <w:rPr>
                <w:rFonts w:ascii="Times New Roman" w:hAnsi="Times New Roman"/>
                <w:color w:val="auto"/>
                <w:kern w:val="0"/>
                <w:szCs w:val="21"/>
                <w:highlight w:val="none"/>
              </w:rPr>
              <w:t>1</w:t>
            </w:r>
          </w:p>
        </w:tc>
        <w:tc>
          <w:tcPr>
            <w:tcW w:w="265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以他人</w:t>
            </w:r>
          </w:p>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名义投标</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投标人没有以他人的名义投标</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265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串通投标</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投标人没有串通投标</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265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弄虚作假</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投标人如实提供有关情况、文件、证明等资料，没有以行贿手段谋取中标或以其他弄虚作假方式投标</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265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澄清、说明或者补正</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投标人按照要求对投标文件进行澄清、说明或者补正</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5</w:t>
            </w:r>
          </w:p>
        </w:tc>
        <w:tc>
          <w:tcPr>
            <w:tcW w:w="265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投标保证承诺</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投标人按照招标文件的规定提供投标保证承诺</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6</w:t>
            </w:r>
          </w:p>
        </w:tc>
        <w:tc>
          <w:tcPr>
            <w:tcW w:w="265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投标文件的真实性</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当评标委员会对投标文件的真实性咨疑时，投标人能够提供合法的、真实的材料证明其投标文件的真实性</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bookmarkEnd w:id="170"/>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bookmarkStart w:id="171" w:name="OLE_LINK10"/>
            <w:r>
              <w:rPr>
                <w:rFonts w:ascii="Times New Roman" w:hAnsi="Times New Roman"/>
                <w:color w:val="auto"/>
                <w:kern w:val="0"/>
                <w:szCs w:val="21"/>
                <w:highlight w:val="none"/>
              </w:rPr>
              <w:t>7</w:t>
            </w:r>
          </w:p>
        </w:tc>
        <w:tc>
          <w:tcPr>
            <w:tcW w:w="694" w:type="dxa"/>
            <w:vMerge w:val="restart"/>
            <w:tcBorders>
              <w:top w:val="single" w:color="auto" w:sz="4" w:space="0"/>
              <w:left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投标人资格条件</w:t>
            </w:r>
          </w:p>
        </w:tc>
        <w:tc>
          <w:tcPr>
            <w:tcW w:w="196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rPr>
                <w:rFonts w:ascii="Times New Roman" w:hAnsi="Times New Roman"/>
                <w:color w:val="auto"/>
                <w:kern w:val="0"/>
                <w:szCs w:val="21"/>
                <w:highlight w:val="none"/>
              </w:rPr>
            </w:pPr>
            <w:r>
              <w:rPr>
                <w:rFonts w:ascii="Times New Roman" w:hAnsi="Times New Roman"/>
                <w:color w:val="auto"/>
                <w:kern w:val="0"/>
                <w:szCs w:val="21"/>
                <w:highlight w:val="none"/>
              </w:rPr>
              <w:t>营业执照</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具备有效的营业执照</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8</w:t>
            </w:r>
          </w:p>
        </w:tc>
        <w:tc>
          <w:tcPr>
            <w:tcW w:w="694" w:type="dxa"/>
            <w:vMerge w:val="continue"/>
            <w:tcBorders>
              <w:left w:val="single" w:color="auto" w:sz="4" w:space="0"/>
              <w:right w:val="single" w:color="auto" w:sz="4" w:space="0"/>
            </w:tcBorders>
            <w:vAlign w:val="center"/>
          </w:tcPr>
          <w:p>
            <w:pPr>
              <w:widowControl/>
              <w:spacing w:line="300" w:lineRule="exact"/>
              <w:jc w:val="left"/>
              <w:rPr>
                <w:rFonts w:ascii="Times New Roman" w:hAnsi="Times New Roman"/>
                <w:color w:val="auto"/>
                <w:kern w:val="0"/>
                <w:szCs w:val="21"/>
                <w:highlight w:val="none"/>
              </w:rPr>
            </w:pPr>
          </w:p>
        </w:tc>
        <w:tc>
          <w:tcPr>
            <w:tcW w:w="196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rPr>
                <w:rFonts w:ascii="Times New Roman" w:hAnsi="Times New Roman"/>
                <w:color w:val="auto"/>
                <w:kern w:val="0"/>
                <w:szCs w:val="21"/>
                <w:highlight w:val="none"/>
              </w:rPr>
            </w:pPr>
            <w:r>
              <w:rPr>
                <w:rFonts w:ascii="Times New Roman" w:hAnsi="Times New Roman"/>
                <w:color w:val="auto"/>
                <w:kern w:val="0"/>
                <w:szCs w:val="21"/>
                <w:highlight w:val="none"/>
              </w:rPr>
              <w:t>企业资质等级</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具有建设行政主管部门颁发的有效资质证书，符合《招标文件》规定的资质要求</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9</w:t>
            </w:r>
          </w:p>
        </w:tc>
        <w:tc>
          <w:tcPr>
            <w:tcW w:w="694" w:type="dxa"/>
            <w:vMerge w:val="continue"/>
            <w:tcBorders>
              <w:left w:val="single" w:color="auto" w:sz="4" w:space="0"/>
              <w:right w:val="single" w:color="auto" w:sz="4" w:space="0"/>
            </w:tcBorders>
            <w:vAlign w:val="center"/>
          </w:tcPr>
          <w:p>
            <w:pPr>
              <w:widowControl/>
              <w:spacing w:line="300" w:lineRule="exact"/>
              <w:jc w:val="left"/>
              <w:rPr>
                <w:rFonts w:ascii="Times New Roman" w:hAnsi="Times New Roman"/>
                <w:color w:val="auto"/>
                <w:kern w:val="0"/>
                <w:szCs w:val="21"/>
                <w:highlight w:val="none"/>
              </w:rPr>
            </w:pPr>
          </w:p>
        </w:tc>
        <w:tc>
          <w:tcPr>
            <w:tcW w:w="196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rPr>
                <w:rFonts w:ascii="Times New Roman" w:hAnsi="Times New Roman"/>
                <w:color w:val="auto"/>
                <w:kern w:val="0"/>
                <w:szCs w:val="21"/>
                <w:highlight w:val="none"/>
              </w:rPr>
            </w:pPr>
            <w:r>
              <w:rPr>
                <w:rFonts w:ascii="Times New Roman" w:hAnsi="Times New Roman"/>
                <w:color w:val="auto"/>
                <w:szCs w:val="21"/>
                <w:highlight w:val="none"/>
              </w:rPr>
              <w:t>省外入湘登记备案材料</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szCs w:val="21"/>
                <w:highlight w:val="none"/>
              </w:rPr>
              <w:t>已在《湖南省住房和城乡建设网》上发布了其企业基本信息</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10</w:t>
            </w:r>
          </w:p>
        </w:tc>
        <w:tc>
          <w:tcPr>
            <w:tcW w:w="694" w:type="dxa"/>
            <w:vMerge w:val="continue"/>
            <w:tcBorders>
              <w:left w:val="single" w:color="auto" w:sz="4" w:space="0"/>
              <w:right w:val="single" w:color="auto" w:sz="4" w:space="0"/>
            </w:tcBorders>
            <w:vAlign w:val="center"/>
          </w:tcPr>
          <w:p>
            <w:pPr>
              <w:widowControl/>
              <w:spacing w:line="300" w:lineRule="exact"/>
              <w:jc w:val="left"/>
              <w:rPr>
                <w:rFonts w:ascii="Times New Roman" w:hAnsi="Times New Roman"/>
                <w:color w:val="auto"/>
                <w:kern w:val="0"/>
                <w:szCs w:val="21"/>
                <w:highlight w:val="none"/>
              </w:rPr>
            </w:pPr>
          </w:p>
        </w:tc>
        <w:tc>
          <w:tcPr>
            <w:tcW w:w="196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rPr>
                <w:rFonts w:ascii="Times New Roman" w:hAnsi="Times New Roman"/>
                <w:color w:val="auto"/>
                <w:kern w:val="0"/>
                <w:szCs w:val="21"/>
                <w:highlight w:val="none"/>
              </w:rPr>
            </w:pPr>
            <w:r>
              <w:rPr>
                <w:rFonts w:ascii="Times New Roman" w:hAnsi="Times New Roman"/>
                <w:color w:val="auto"/>
                <w:kern w:val="0"/>
                <w:szCs w:val="21"/>
                <w:highlight w:val="none"/>
              </w:rPr>
              <w:t>企业信誉</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企业没有处于被有权机关吊销营业执照、吊销资质、停业整顿、取消投标资格以及财产被接管、冻结和进入破产程序等状况</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bookmarkEnd w:id="171"/>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bookmarkStart w:id="172" w:name="OLE_LINK11"/>
            <w:r>
              <w:rPr>
                <w:rFonts w:ascii="Times New Roman" w:hAnsi="Times New Roman"/>
                <w:color w:val="auto"/>
                <w:kern w:val="0"/>
                <w:szCs w:val="21"/>
                <w:highlight w:val="none"/>
              </w:rPr>
              <w:t>11</w:t>
            </w:r>
          </w:p>
        </w:tc>
        <w:tc>
          <w:tcPr>
            <w:tcW w:w="265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拟任总监理工程师资格</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符合《招标文件》规定的资格要求</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napToGrid w:val="0"/>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12</w:t>
            </w:r>
          </w:p>
        </w:tc>
        <w:tc>
          <w:tcPr>
            <w:tcW w:w="265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rPr>
                <w:rFonts w:ascii="Times New Roman" w:hAnsi="Times New Roman"/>
                <w:color w:val="auto"/>
                <w:kern w:val="0"/>
                <w:szCs w:val="21"/>
                <w:highlight w:val="none"/>
              </w:rPr>
            </w:pPr>
            <w:r>
              <w:rPr>
                <w:rFonts w:ascii="Times New Roman" w:hAnsi="Times New Roman"/>
                <w:color w:val="auto"/>
                <w:kern w:val="0"/>
                <w:szCs w:val="21"/>
                <w:highlight w:val="none"/>
              </w:rPr>
              <w:t>专业监理工程师及监理员</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符合《招标文件》规定的资格要求</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13</w:t>
            </w:r>
          </w:p>
        </w:tc>
        <w:tc>
          <w:tcPr>
            <w:tcW w:w="265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总监理工程师的社保证明</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提供由劳动保障部门出具的近一年内连续六个月的投标人为其缴纳社会养老保险的证明材料</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pacing w:line="300" w:lineRule="exact"/>
              <w:jc w:val="center"/>
              <w:rPr>
                <w:rFonts w:ascii="Times New Roman" w:hAnsi="Times New Roman"/>
                <w:color w:val="auto"/>
                <w:kern w:val="0"/>
                <w:szCs w:val="21"/>
                <w:highlight w:val="none"/>
              </w:rPr>
            </w:pPr>
          </w:p>
        </w:tc>
      </w:tr>
      <w:bookmarkEnd w:id="172"/>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456" w:type="dxa"/>
            <w:tcBorders>
              <w:top w:val="single" w:color="auto" w:sz="4" w:space="0"/>
              <w:left w:val="single" w:color="auto" w:sz="12"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14</w:t>
            </w:r>
          </w:p>
        </w:tc>
        <w:tc>
          <w:tcPr>
            <w:tcW w:w="265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其他</w:t>
            </w:r>
          </w:p>
        </w:tc>
        <w:tc>
          <w:tcPr>
            <w:tcW w:w="41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投标人没有其它不符合法律法规规定的情况</w:t>
            </w:r>
          </w:p>
        </w:tc>
        <w:tc>
          <w:tcPr>
            <w:tcW w:w="45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4" w:space="0"/>
              <w:right w:val="single" w:color="auto" w:sz="12" w:space="0"/>
            </w:tcBorders>
            <w:vAlign w:val="center"/>
          </w:tcPr>
          <w:p>
            <w:pPr>
              <w:widowControl/>
              <w:spacing w:line="30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7252" w:type="dxa"/>
            <w:gridSpan w:val="4"/>
            <w:tcBorders>
              <w:top w:val="single" w:color="auto" w:sz="4" w:space="0"/>
              <w:left w:val="single" w:color="auto" w:sz="12" w:space="0"/>
              <w:bottom w:val="single" w:color="auto" w:sz="12" w:space="0"/>
              <w:right w:val="single" w:color="auto" w:sz="4" w:space="0"/>
            </w:tcBorders>
            <w:vAlign w:val="center"/>
          </w:tcPr>
          <w:p>
            <w:pPr>
              <w:widowControl/>
              <w:snapToGri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结论（合格或不合格）</w:t>
            </w:r>
          </w:p>
        </w:tc>
        <w:tc>
          <w:tcPr>
            <w:tcW w:w="455" w:type="dxa"/>
            <w:tcBorders>
              <w:top w:val="single" w:color="auto" w:sz="4" w:space="0"/>
              <w:left w:val="single" w:color="auto" w:sz="4" w:space="0"/>
              <w:bottom w:val="single" w:color="auto" w:sz="12"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725" w:type="dxa"/>
            <w:tcBorders>
              <w:top w:val="single" w:color="auto" w:sz="4" w:space="0"/>
              <w:left w:val="single" w:color="auto" w:sz="4" w:space="0"/>
              <w:bottom w:val="single" w:color="auto" w:sz="12"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12" w:space="0"/>
              <w:right w:val="single" w:color="auto" w:sz="4" w:space="0"/>
            </w:tcBorders>
            <w:vAlign w:val="center"/>
          </w:tcPr>
          <w:p>
            <w:pPr>
              <w:widowControl/>
              <w:spacing w:line="300" w:lineRule="exact"/>
              <w:jc w:val="center"/>
              <w:rPr>
                <w:rFonts w:ascii="Times New Roman" w:hAnsi="Times New Roman"/>
                <w:color w:val="auto"/>
                <w:kern w:val="0"/>
                <w:szCs w:val="21"/>
                <w:highlight w:val="none"/>
              </w:rPr>
            </w:pPr>
          </w:p>
        </w:tc>
        <w:tc>
          <w:tcPr>
            <w:tcW w:w="694" w:type="dxa"/>
            <w:tcBorders>
              <w:top w:val="single" w:color="auto" w:sz="4" w:space="0"/>
              <w:left w:val="single" w:color="auto" w:sz="4" w:space="0"/>
              <w:bottom w:val="single" w:color="auto" w:sz="12" w:space="0"/>
              <w:right w:val="single" w:color="auto" w:sz="12" w:space="0"/>
            </w:tcBorders>
            <w:vAlign w:val="center"/>
          </w:tcPr>
          <w:p>
            <w:pPr>
              <w:widowControl/>
              <w:spacing w:line="300" w:lineRule="exact"/>
              <w:jc w:val="center"/>
              <w:rPr>
                <w:rFonts w:ascii="Times New Roman" w:hAnsi="Times New Roman"/>
                <w:color w:val="auto"/>
                <w:kern w:val="0"/>
                <w:szCs w:val="21"/>
                <w:highlight w:val="none"/>
              </w:rPr>
            </w:pPr>
          </w:p>
        </w:tc>
      </w:tr>
    </w:tbl>
    <w:p>
      <w:pPr>
        <w:widowControl/>
        <w:shd w:val="clear" w:color="auto" w:fill="FFFFFF"/>
        <w:spacing w:line="340" w:lineRule="exact"/>
        <w:jc w:val="left"/>
        <w:rPr>
          <w:rFonts w:ascii="Times New Roman" w:hAnsi="Times New Roman"/>
          <w:color w:val="auto"/>
          <w:kern w:val="0"/>
          <w:sz w:val="24"/>
          <w:highlight w:val="none"/>
        </w:rPr>
      </w:pPr>
      <w:r>
        <w:rPr>
          <w:rFonts w:ascii="Times New Roman" w:hAnsi="Times New Roman"/>
          <w:color w:val="auto"/>
          <w:kern w:val="0"/>
          <w:sz w:val="24"/>
          <w:highlight w:val="none"/>
        </w:rPr>
        <w:t>备注：以上内容合格的打“√”，不合格的打“×”，有一项不合格则结论为不合格。评标委员会全体成员签字/日期：</w:t>
      </w:r>
    </w:p>
    <w:p>
      <w:pPr>
        <w:widowControl/>
        <w:shd w:val="clear" w:color="auto" w:fill="FFFFFF"/>
        <w:jc w:val="left"/>
        <w:rPr>
          <w:rFonts w:ascii="Times New Roman" w:hAnsi="Times New Roman"/>
          <w:color w:val="auto"/>
          <w:sz w:val="24"/>
          <w:highlight w:val="none"/>
        </w:rPr>
        <w:sectPr>
          <w:pgSz w:w="11907" w:h="16840"/>
          <w:pgMar w:top="1134" w:right="992" w:bottom="1134" w:left="1418" w:header="720" w:footer="720" w:gutter="0"/>
          <w:pgNumType w:fmt="numberInDash"/>
          <w:cols w:space="720" w:num="1"/>
        </w:sectPr>
      </w:pPr>
    </w:p>
    <w:p>
      <w:pPr>
        <w:widowControl/>
        <w:shd w:val="clear" w:color="auto" w:fill="FFFFFF"/>
        <w:snapToGrid w:val="0"/>
        <w:spacing w:line="400" w:lineRule="atLeast"/>
        <w:jc w:val="left"/>
        <w:rPr>
          <w:rFonts w:ascii="Times New Roman" w:hAnsi="Times New Roman"/>
          <w:b/>
          <w:color w:val="auto"/>
          <w:kern w:val="0"/>
          <w:sz w:val="24"/>
          <w:highlight w:val="none"/>
        </w:rPr>
      </w:pPr>
      <w:r>
        <w:rPr>
          <w:rFonts w:ascii="Times New Roman" w:hAnsi="Times New Roman"/>
          <w:b/>
          <w:color w:val="auto"/>
          <w:kern w:val="0"/>
          <w:sz w:val="24"/>
          <w:highlight w:val="none"/>
        </w:rPr>
        <w:t>附表4</w:t>
      </w:r>
    </w:p>
    <w:p>
      <w:pPr>
        <w:widowControl/>
        <w:shd w:val="clear" w:color="auto" w:fill="FFFFFF"/>
        <w:snapToGrid w:val="0"/>
        <w:spacing w:line="400" w:lineRule="atLeast"/>
        <w:jc w:val="center"/>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响应性评审表</w:t>
      </w:r>
    </w:p>
    <w:tbl>
      <w:tblPr>
        <w:tblStyle w:val="18"/>
        <w:tblW w:w="9360" w:type="dxa"/>
        <w:tblInd w:w="1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0"/>
        <w:gridCol w:w="990"/>
        <w:gridCol w:w="4185"/>
        <w:gridCol w:w="825"/>
        <w:gridCol w:w="870"/>
        <w:gridCol w:w="855"/>
        <w:gridCol w:w="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810" w:type="dxa"/>
            <w:vMerge w:val="restart"/>
            <w:tcBorders>
              <w:top w:val="single" w:color="auto" w:sz="12"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序号</w:t>
            </w:r>
          </w:p>
        </w:tc>
        <w:tc>
          <w:tcPr>
            <w:tcW w:w="5175" w:type="dxa"/>
            <w:gridSpan w:val="2"/>
            <w:vMerge w:val="restart"/>
            <w:tcBorders>
              <w:top w:val="single" w:color="auto" w:sz="12"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评审因素及评审标准</w:t>
            </w:r>
          </w:p>
        </w:tc>
        <w:tc>
          <w:tcPr>
            <w:tcW w:w="3375" w:type="dxa"/>
            <w:gridSpan w:val="4"/>
            <w:tcBorders>
              <w:top w:val="single" w:color="auto" w:sz="12" w:space="0"/>
              <w:left w:val="single" w:color="auto" w:sz="4" w:space="0"/>
              <w:bottom w:val="single" w:color="auto" w:sz="4"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投标人名称及评审意见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810" w:type="dxa"/>
            <w:vMerge w:val="continue"/>
            <w:tcBorders>
              <w:top w:val="single" w:color="auto" w:sz="12" w:space="0"/>
              <w:left w:val="single" w:color="auto" w:sz="12"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5175" w:type="dxa"/>
            <w:gridSpan w:val="2"/>
            <w:vMerge w:val="continue"/>
            <w:tcBorders>
              <w:top w:val="single" w:color="auto" w:sz="12"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25"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810" w:type="dxa"/>
            <w:tcBorders>
              <w:top w:val="single" w:color="auto" w:sz="4"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bookmarkStart w:id="173" w:name="OLE_LINK12"/>
            <w:r>
              <w:rPr>
                <w:rFonts w:ascii="Times New Roman" w:hAnsi="Times New Roman"/>
                <w:color w:val="auto"/>
                <w:kern w:val="0"/>
                <w:szCs w:val="21"/>
                <w:highlight w:val="none"/>
              </w:rPr>
              <w:t>1</w:t>
            </w:r>
          </w:p>
        </w:tc>
        <w:tc>
          <w:tcPr>
            <w:tcW w:w="99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ind w:right="-38" w:rightChars="-18"/>
              <w:jc w:val="center"/>
              <w:rPr>
                <w:rFonts w:ascii="Times New Roman" w:hAnsi="Times New Roman"/>
                <w:color w:val="auto"/>
                <w:kern w:val="0"/>
                <w:szCs w:val="21"/>
                <w:highlight w:val="none"/>
              </w:rPr>
            </w:pPr>
            <w:r>
              <w:rPr>
                <w:rFonts w:ascii="Times New Roman" w:hAnsi="Times New Roman"/>
                <w:color w:val="auto"/>
                <w:kern w:val="0"/>
                <w:szCs w:val="21"/>
                <w:highlight w:val="none"/>
              </w:rPr>
              <w:t>招标</w:t>
            </w:r>
          </w:p>
          <w:p>
            <w:pPr>
              <w:widowControl/>
              <w:spacing w:line="320" w:lineRule="exact"/>
              <w:ind w:right="-38" w:rightChars="-18"/>
              <w:jc w:val="center"/>
              <w:rPr>
                <w:rFonts w:ascii="Times New Roman" w:hAnsi="Times New Roman"/>
                <w:color w:val="auto"/>
                <w:kern w:val="0"/>
                <w:szCs w:val="21"/>
                <w:highlight w:val="none"/>
              </w:rPr>
            </w:pPr>
            <w:r>
              <w:rPr>
                <w:rFonts w:ascii="Times New Roman" w:hAnsi="Times New Roman"/>
                <w:color w:val="auto"/>
                <w:kern w:val="0"/>
                <w:szCs w:val="21"/>
                <w:highlight w:val="none"/>
              </w:rPr>
              <w:t>范围</w:t>
            </w:r>
          </w:p>
        </w:tc>
        <w:tc>
          <w:tcPr>
            <w:tcW w:w="418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投标文件载明的投标范围符合或大于招标文件规定的招标范围</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25"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810" w:type="dxa"/>
            <w:tcBorders>
              <w:top w:val="single" w:color="auto" w:sz="4"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99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ind w:right="-38" w:rightChars="-18"/>
              <w:jc w:val="center"/>
              <w:rPr>
                <w:rFonts w:ascii="Times New Roman" w:hAnsi="Times New Roman"/>
                <w:color w:val="auto"/>
                <w:kern w:val="0"/>
                <w:szCs w:val="21"/>
                <w:highlight w:val="none"/>
              </w:rPr>
            </w:pPr>
            <w:r>
              <w:rPr>
                <w:rFonts w:ascii="Times New Roman" w:hAnsi="Times New Roman"/>
                <w:color w:val="auto"/>
                <w:kern w:val="0"/>
                <w:szCs w:val="21"/>
                <w:highlight w:val="none"/>
              </w:rPr>
              <w:t>投标</w:t>
            </w:r>
          </w:p>
          <w:p>
            <w:pPr>
              <w:widowControl/>
              <w:spacing w:line="320" w:lineRule="exact"/>
              <w:ind w:right="-38" w:rightChars="-18"/>
              <w:jc w:val="center"/>
              <w:rPr>
                <w:rFonts w:ascii="Times New Roman" w:hAnsi="Times New Roman"/>
                <w:color w:val="auto"/>
                <w:kern w:val="0"/>
                <w:szCs w:val="21"/>
                <w:highlight w:val="none"/>
              </w:rPr>
            </w:pPr>
            <w:r>
              <w:rPr>
                <w:rFonts w:ascii="Times New Roman" w:hAnsi="Times New Roman"/>
                <w:color w:val="auto"/>
                <w:kern w:val="0"/>
                <w:szCs w:val="21"/>
                <w:highlight w:val="none"/>
              </w:rPr>
              <w:t>限价</w:t>
            </w:r>
          </w:p>
        </w:tc>
        <w:tc>
          <w:tcPr>
            <w:tcW w:w="418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投标报价不高于招标文件规定的投标限价按招标文件要求报价</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25"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810" w:type="dxa"/>
            <w:tcBorders>
              <w:top w:val="single" w:color="auto" w:sz="4"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99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ind w:right="-38" w:rightChars="-18"/>
              <w:jc w:val="center"/>
              <w:rPr>
                <w:rFonts w:ascii="Times New Roman" w:hAnsi="Times New Roman"/>
                <w:color w:val="auto"/>
                <w:kern w:val="0"/>
                <w:szCs w:val="21"/>
                <w:highlight w:val="none"/>
              </w:rPr>
            </w:pPr>
            <w:r>
              <w:rPr>
                <w:rFonts w:ascii="Times New Roman" w:hAnsi="Times New Roman"/>
                <w:color w:val="auto"/>
                <w:kern w:val="0"/>
                <w:szCs w:val="21"/>
                <w:highlight w:val="none"/>
              </w:rPr>
              <w:t>监理服务期或工期</w:t>
            </w:r>
          </w:p>
        </w:tc>
        <w:tc>
          <w:tcPr>
            <w:tcW w:w="418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投标文件载明的监理服务期不低于招标文件规定，或投标文件载明的工期符合招标文件规定</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25"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810" w:type="dxa"/>
            <w:tcBorders>
              <w:top w:val="single" w:color="auto" w:sz="4"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99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ind w:right="-38" w:rightChars="-18"/>
              <w:jc w:val="center"/>
              <w:rPr>
                <w:rFonts w:ascii="Times New Roman" w:hAnsi="Times New Roman"/>
                <w:color w:val="auto"/>
                <w:kern w:val="0"/>
                <w:szCs w:val="21"/>
                <w:highlight w:val="none"/>
              </w:rPr>
            </w:pPr>
            <w:r>
              <w:rPr>
                <w:rFonts w:ascii="Times New Roman" w:hAnsi="Times New Roman"/>
                <w:color w:val="auto"/>
                <w:kern w:val="0"/>
                <w:szCs w:val="21"/>
                <w:highlight w:val="none"/>
              </w:rPr>
              <w:t>质量</w:t>
            </w:r>
          </w:p>
          <w:p>
            <w:pPr>
              <w:widowControl/>
              <w:spacing w:line="320" w:lineRule="exact"/>
              <w:ind w:right="-38" w:rightChars="-18"/>
              <w:jc w:val="center"/>
              <w:rPr>
                <w:rFonts w:ascii="Times New Roman" w:hAnsi="Times New Roman"/>
                <w:color w:val="auto"/>
                <w:kern w:val="0"/>
                <w:szCs w:val="21"/>
                <w:highlight w:val="none"/>
              </w:rPr>
            </w:pPr>
            <w:r>
              <w:rPr>
                <w:rFonts w:ascii="Times New Roman" w:hAnsi="Times New Roman"/>
                <w:color w:val="auto"/>
                <w:kern w:val="0"/>
                <w:szCs w:val="21"/>
                <w:highlight w:val="none"/>
              </w:rPr>
              <w:t>标准</w:t>
            </w:r>
          </w:p>
        </w:tc>
        <w:tc>
          <w:tcPr>
            <w:tcW w:w="418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投标文件载明的质量标准符合招标文件规定</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25"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810" w:type="dxa"/>
            <w:tcBorders>
              <w:top w:val="single" w:color="auto" w:sz="4"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5</w:t>
            </w:r>
          </w:p>
        </w:tc>
        <w:tc>
          <w:tcPr>
            <w:tcW w:w="99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ind w:right="-38" w:rightChars="-18"/>
              <w:jc w:val="center"/>
              <w:rPr>
                <w:rFonts w:ascii="Times New Roman" w:hAnsi="Times New Roman"/>
                <w:color w:val="auto"/>
                <w:kern w:val="0"/>
                <w:szCs w:val="21"/>
                <w:highlight w:val="none"/>
              </w:rPr>
            </w:pPr>
            <w:r>
              <w:rPr>
                <w:rFonts w:ascii="Times New Roman" w:hAnsi="Times New Roman"/>
                <w:color w:val="auto"/>
                <w:kern w:val="0"/>
                <w:szCs w:val="21"/>
                <w:highlight w:val="none"/>
              </w:rPr>
              <w:t>缺陷</w:t>
            </w:r>
          </w:p>
          <w:p>
            <w:pPr>
              <w:widowControl/>
              <w:spacing w:line="320" w:lineRule="exact"/>
              <w:ind w:right="-38" w:rightChars="-18"/>
              <w:jc w:val="center"/>
              <w:rPr>
                <w:rFonts w:ascii="Times New Roman" w:hAnsi="Times New Roman"/>
                <w:color w:val="auto"/>
                <w:kern w:val="0"/>
                <w:szCs w:val="21"/>
                <w:highlight w:val="none"/>
              </w:rPr>
            </w:pPr>
            <w:r>
              <w:rPr>
                <w:rFonts w:ascii="Times New Roman" w:hAnsi="Times New Roman"/>
                <w:color w:val="auto"/>
                <w:kern w:val="0"/>
                <w:szCs w:val="21"/>
                <w:highlight w:val="none"/>
              </w:rPr>
              <w:t>责任期</w:t>
            </w:r>
          </w:p>
        </w:tc>
        <w:tc>
          <w:tcPr>
            <w:tcW w:w="418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投标文件载明的缺陷责任期服务承诺不低于招标文件要求</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25"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810" w:type="dxa"/>
            <w:tcBorders>
              <w:top w:val="single" w:color="auto" w:sz="4"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6</w:t>
            </w:r>
          </w:p>
        </w:tc>
        <w:tc>
          <w:tcPr>
            <w:tcW w:w="99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ind w:right="-38" w:rightChars="-18"/>
              <w:jc w:val="center"/>
              <w:rPr>
                <w:rFonts w:ascii="Times New Roman" w:hAnsi="Times New Roman"/>
                <w:color w:val="auto"/>
                <w:kern w:val="0"/>
                <w:szCs w:val="21"/>
                <w:highlight w:val="none"/>
              </w:rPr>
            </w:pPr>
            <w:r>
              <w:rPr>
                <w:rFonts w:ascii="Times New Roman" w:hAnsi="Times New Roman"/>
                <w:color w:val="auto"/>
                <w:kern w:val="0"/>
                <w:szCs w:val="21"/>
                <w:highlight w:val="none"/>
              </w:rPr>
              <w:t>关键岗位人员数量</w:t>
            </w:r>
          </w:p>
        </w:tc>
        <w:tc>
          <w:tcPr>
            <w:tcW w:w="418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现场监理部关键岗位人员按招标文件规定配备</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25"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810" w:type="dxa"/>
            <w:tcBorders>
              <w:top w:val="single" w:color="auto" w:sz="4"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7</w:t>
            </w:r>
          </w:p>
        </w:tc>
        <w:tc>
          <w:tcPr>
            <w:tcW w:w="99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其他</w:t>
            </w:r>
          </w:p>
        </w:tc>
        <w:tc>
          <w:tcPr>
            <w:tcW w:w="418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其他能够实质响应招标文件提出的实质性要求和条件</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25"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p>
        </w:tc>
      </w:tr>
      <w:bookmarkEnd w:id="17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810" w:type="dxa"/>
            <w:tcBorders>
              <w:top w:val="single" w:color="auto" w:sz="4" w:space="0"/>
              <w:left w:val="single" w:color="auto" w:sz="12" w:space="0"/>
              <w:bottom w:val="single" w:color="auto" w:sz="12"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8</w:t>
            </w:r>
          </w:p>
        </w:tc>
        <w:tc>
          <w:tcPr>
            <w:tcW w:w="5175" w:type="dxa"/>
            <w:gridSpan w:val="2"/>
            <w:tcBorders>
              <w:top w:val="single" w:color="auto" w:sz="4" w:space="0"/>
              <w:left w:val="single" w:color="auto" w:sz="4" w:space="0"/>
              <w:bottom w:val="single" w:color="auto" w:sz="12"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结论（合格或不合格）</w:t>
            </w:r>
          </w:p>
        </w:tc>
        <w:tc>
          <w:tcPr>
            <w:tcW w:w="825" w:type="dxa"/>
            <w:tcBorders>
              <w:top w:val="single" w:color="auto" w:sz="4" w:space="0"/>
              <w:left w:val="single" w:color="auto" w:sz="4" w:space="0"/>
              <w:bottom w:val="single" w:color="auto" w:sz="12"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70" w:type="dxa"/>
            <w:tcBorders>
              <w:top w:val="single" w:color="auto" w:sz="4" w:space="0"/>
              <w:left w:val="single" w:color="auto" w:sz="4" w:space="0"/>
              <w:bottom w:val="single" w:color="auto" w:sz="12"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55" w:type="dxa"/>
            <w:tcBorders>
              <w:top w:val="single" w:color="auto" w:sz="4" w:space="0"/>
              <w:left w:val="single" w:color="auto" w:sz="4" w:space="0"/>
              <w:bottom w:val="single" w:color="auto" w:sz="12"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25" w:type="dxa"/>
            <w:tcBorders>
              <w:top w:val="single" w:color="auto" w:sz="4" w:space="0"/>
              <w:left w:val="single" w:color="auto" w:sz="4" w:space="0"/>
              <w:bottom w:val="single" w:color="auto" w:sz="12"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p>
        </w:tc>
      </w:tr>
    </w:tbl>
    <w:p>
      <w:pPr>
        <w:widowControl/>
        <w:shd w:val="clear" w:color="auto" w:fill="FFFFFF"/>
        <w:snapToGrid w:val="0"/>
        <w:spacing w:line="480" w:lineRule="auto"/>
        <w:jc w:val="left"/>
        <w:rPr>
          <w:rFonts w:ascii="Times New Roman" w:hAnsi="Times New Roman"/>
          <w:color w:val="auto"/>
          <w:kern w:val="0"/>
          <w:sz w:val="24"/>
          <w:highlight w:val="none"/>
        </w:rPr>
      </w:pPr>
      <w:r>
        <w:rPr>
          <w:rFonts w:ascii="Times New Roman" w:hAnsi="Times New Roman"/>
          <w:color w:val="auto"/>
          <w:kern w:val="0"/>
          <w:sz w:val="24"/>
          <w:highlight w:val="none"/>
        </w:rPr>
        <w:t>备注：</w:t>
      </w:r>
      <w:r>
        <w:rPr>
          <w:rFonts w:ascii="Times New Roman" w:hAnsi="Times New Roman"/>
          <w:color w:val="auto"/>
          <w:kern w:val="0"/>
          <w:sz w:val="24"/>
          <w:szCs w:val="21"/>
          <w:highlight w:val="none"/>
        </w:rPr>
        <w:t>以上内容合格的打“√”，不合格的打“×”，有一项不合格则结论为不合格。</w:t>
      </w:r>
    </w:p>
    <w:p>
      <w:pPr>
        <w:widowControl/>
        <w:shd w:val="clear" w:color="auto" w:fill="FFFFFF"/>
        <w:snapToGrid w:val="0"/>
        <w:spacing w:line="480" w:lineRule="auto"/>
        <w:jc w:val="left"/>
        <w:rPr>
          <w:rFonts w:ascii="Times New Roman" w:hAnsi="Times New Roman"/>
          <w:color w:val="auto"/>
          <w:kern w:val="0"/>
          <w:sz w:val="24"/>
          <w:highlight w:val="none"/>
        </w:rPr>
      </w:pPr>
    </w:p>
    <w:p>
      <w:pPr>
        <w:widowControl/>
        <w:shd w:val="clear" w:color="auto" w:fill="FFFFFF"/>
        <w:snapToGrid w:val="0"/>
        <w:spacing w:after="72" w:afterLines="30" w:line="440" w:lineRule="exact"/>
        <w:jc w:val="left"/>
        <w:rPr>
          <w:rFonts w:ascii="Times New Roman" w:hAnsi="Times New Roman"/>
          <w:color w:val="auto"/>
          <w:kern w:val="0"/>
          <w:sz w:val="24"/>
          <w:highlight w:val="none"/>
        </w:rPr>
      </w:pPr>
      <w:r>
        <w:rPr>
          <w:rFonts w:ascii="Times New Roman" w:hAnsi="Times New Roman"/>
          <w:color w:val="auto"/>
          <w:kern w:val="0"/>
          <w:sz w:val="24"/>
          <w:highlight w:val="none"/>
        </w:rPr>
        <w:t>评标委员会全体成员签字/日期：</w:t>
      </w:r>
    </w:p>
    <w:p>
      <w:pPr>
        <w:widowControl/>
        <w:shd w:val="clear" w:color="auto" w:fill="FFFFFF"/>
        <w:tabs>
          <w:tab w:val="left" w:pos="4500"/>
        </w:tabs>
        <w:snapToGrid w:val="0"/>
        <w:spacing w:line="480" w:lineRule="auto"/>
        <w:jc w:val="center"/>
        <w:rPr>
          <w:rFonts w:ascii="Times New Roman" w:hAnsi="Times New Roman"/>
          <w:color w:val="auto"/>
          <w:kern w:val="0"/>
          <w:sz w:val="22"/>
          <w:szCs w:val="28"/>
          <w:highlight w:val="none"/>
        </w:rPr>
      </w:pPr>
    </w:p>
    <w:p>
      <w:pPr>
        <w:widowControl/>
        <w:shd w:val="clear" w:color="auto" w:fill="FFFFFF"/>
        <w:snapToGrid w:val="0"/>
        <w:spacing w:after="72" w:afterLines="30" w:line="440" w:lineRule="exact"/>
        <w:jc w:val="left"/>
        <w:rPr>
          <w:rFonts w:ascii="Times New Roman" w:hAnsi="Times New Roman"/>
          <w:b/>
          <w:color w:val="auto"/>
          <w:kern w:val="0"/>
          <w:sz w:val="24"/>
          <w:highlight w:val="none"/>
        </w:rPr>
      </w:pPr>
      <w:r>
        <w:rPr>
          <w:rFonts w:ascii="Times New Roman" w:hAnsi="Times New Roman"/>
          <w:color w:val="auto"/>
          <w:sz w:val="20"/>
          <w:szCs w:val="22"/>
          <w:highlight w:val="none"/>
        </w:rPr>
        <w:br w:type="page"/>
      </w:r>
      <w:r>
        <w:rPr>
          <w:rFonts w:ascii="Times New Roman" w:hAnsi="Times New Roman"/>
          <w:b/>
          <w:color w:val="auto"/>
          <w:kern w:val="0"/>
          <w:sz w:val="24"/>
          <w:highlight w:val="none"/>
        </w:rPr>
        <w:t xml:space="preserve">附表5  </w:t>
      </w:r>
    </w:p>
    <w:p>
      <w:pPr>
        <w:widowControl/>
        <w:shd w:val="clear" w:color="auto" w:fill="FFFFFF"/>
        <w:snapToGrid w:val="0"/>
        <w:spacing w:before="240" w:beforeLines="100" w:after="240" w:afterLines="100" w:line="400" w:lineRule="exact"/>
        <w:jc w:val="center"/>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问题澄清通知</w:t>
      </w:r>
    </w:p>
    <w:p>
      <w:pPr>
        <w:widowControl/>
        <w:shd w:val="clear" w:color="auto" w:fill="FFFFFF"/>
        <w:snapToGrid w:val="0"/>
        <w:spacing w:line="400" w:lineRule="exact"/>
        <w:ind w:firstLine="6160" w:firstLineChars="2800"/>
        <w:jc w:val="left"/>
        <w:rPr>
          <w:rFonts w:ascii="Times New Roman" w:hAnsi="Times New Roman"/>
          <w:color w:val="auto"/>
          <w:kern w:val="0"/>
          <w:sz w:val="22"/>
          <w:szCs w:val="22"/>
          <w:highlight w:val="none"/>
          <w:u w:val="single"/>
        </w:rPr>
      </w:pPr>
      <w:r>
        <w:rPr>
          <w:rFonts w:ascii="Times New Roman" w:hAnsi="Times New Roman"/>
          <w:color w:val="auto"/>
          <w:kern w:val="0"/>
          <w:sz w:val="22"/>
          <w:szCs w:val="22"/>
          <w:highlight w:val="none"/>
        </w:rPr>
        <w:t xml:space="preserve">  编号：</w:t>
      </w:r>
      <w:r>
        <w:rPr>
          <w:rFonts w:ascii="Times New Roman" w:hAnsi="Times New Roman"/>
          <w:color w:val="auto"/>
          <w:kern w:val="0"/>
          <w:sz w:val="22"/>
          <w:szCs w:val="22"/>
          <w:highlight w:val="none"/>
          <w:u w:val="single"/>
        </w:rPr>
        <w:t xml:space="preserve">                  </w:t>
      </w:r>
    </w:p>
    <w:p>
      <w:pPr>
        <w:widowControl/>
        <w:shd w:val="clear" w:color="auto" w:fill="FFFFFF"/>
        <w:snapToGrid w:val="0"/>
        <w:spacing w:line="480" w:lineRule="exact"/>
        <w:ind w:firstLine="440" w:firstLineChars="200"/>
        <w:jc w:val="left"/>
        <w:rPr>
          <w:rFonts w:ascii="Times New Roman" w:hAnsi="Times New Roman"/>
          <w:color w:val="auto"/>
          <w:kern w:val="0"/>
          <w:sz w:val="22"/>
          <w:szCs w:val="22"/>
          <w:highlight w:val="none"/>
        </w:rPr>
      </w:pP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（投标人名称）：</w:t>
      </w:r>
    </w:p>
    <w:p>
      <w:pPr>
        <w:widowControl/>
        <w:shd w:val="clear" w:color="auto" w:fill="FFFFFF"/>
        <w:snapToGrid w:val="0"/>
        <w:spacing w:line="480" w:lineRule="exact"/>
        <w:ind w:firstLine="440" w:firstLineChars="200"/>
        <w:jc w:val="left"/>
        <w:rPr>
          <w:rFonts w:ascii="Times New Roman" w:hAnsi="Times New Roman"/>
          <w:color w:val="auto"/>
          <w:kern w:val="0"/>
          <w:sz w:val="22"/>
          <w:szCs w:val="22"/>
          <w:highlight w:val="none"/>
        </w:rPr>
      </w:pP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（项目名称）</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标段监理招标的评标委员会，对你方的投标文件进行了仔细的审查，现需你方对本通知所附质疑问卷中的问题以书面形式予以澄清、说明或者补正。</w:t>
      </w:r>
    </w:p>
    <w:p>
      <w:pPr>
        <w:widowControl/>
        <w:shd w:val="clear" w:color="auto" w:fill="FFFFFF"/>
        <w:snapToGrid w:val="0"/>
        <w:spacing w:line="480" w:lineRule="exact"/>
        <w:ind w:firstLine="440" w:firstLineChars="200"/>
        <w:jc w:val="lef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请将上述问题的澄清、说明或者补正材料于</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年</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月</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日</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时前密封递交至</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（详细地址）或传真至</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（传真号码）。采用传真方式的，应在</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年</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月</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日</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时前将原件递交至</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 xml:space="preserve"> （详细地址）。</w:t>
      </w:r>
    </w:p>
    <w:p>
      <w:pPr>
        <w:widowControl/>
        <w:shd w:val="clear" w:color="auto" w:fill="FFFFFF"/>
        <w:snapToGrid w:val="0"/>
        <w:spacing w:line="480" w:lineRule="exact"/>
        <w:jc w:val="left"/>
        <w:rPr>
          <w:rFonts w:ascii="Times New Roman" w:hAnsi="Times New Roman"/>
          <w:color w:val="auto"/>
          <w:kern w:val="0"/>
          <w:sz w:val="22"/>
          <w:szCs w:val="22"/>
          <w:highlight w:val="none"/>
        </w:rPr>
      </w:pPr>
    </w:p>
    <w:p>
      <w:pPr>
        <w:widowControl/>
        <w:shd w:val="clear" w:color="auto" w:fill="FFFFFF"/>
        <w:snapToGrid w:val="0"/>
        <w:spacing w:line="480" w:lineRule="exact"/>
        <w:jc w:val="lef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附件：质疑问卷</w:t>
      </w:r>
    </w:p>
    <w:p>
      <w:pPr>
        <w:widowControl/>
        <w:shd w:val="clear" w:color="auto" w:fill="FFFFFF"/>
        <w:snapToGrid w:val="0"/>
        <w:spacing w:line="480" w:lineRule="exact"/>
        <w:ind w:firstLine="3740" w:firstLineChars="1700"/>
        <w:jc w:val="left"/>
        <w:rPr>
          <w:rFonts w:ascii="Times New Roman" w:hAnsi="Times New Roman"/>
          <w:color w:val="auto"/>
          <w:kern w:val="0"/>
          <w:sz w:val="22"/>
          <w:szCs w:val="22"/>
          <w:highlight w:val="none"/>
          <w:u w:val="single"/>
        </w:rPr>
      </w:pPr>
    </w:p>
    <w:p>
      <w:pPr>
        <w:widowControl/>
        <w:shd w:val="clear" w:color="auto" w:fill="FFFFFF"/>
        <w:snapToGrid w:val="0"/>
        <w:spacing w:line="480" w:lineRule="exact"/>
        <w:ind w:firstLine="3740" w:firstLineChars="1700"/>
        <w:jc w:val="left"/>
        <w:rPr>
          <w:rFonts w:ascii="Times New Roman" w:hAnsi="Times New Roman"/>
          <w:color w:val="auto"/>
          <w:kern w:val="0"/>
          <w:sz w:val="22"/>
          <w:szCs w:val="22"/>
          <w:highlight w:val="none"/>
          <w:u w:val="single"/>
        </w:rPr>
      </w:pPr>
    </w:p>
    <w:p>
      <w:pPr>
        <w:widowControl/>
        <w:shd w:val="clear" w:color="auto" w:fill="FFFFFF"/>
        <w:snapToGrid w:val="0"/>
        <w:spacing w:line="480" w:lineRule="exact"/>
        <w:jc w:val="right"/>
        <w:rPr>
          <w:rFonts w:ascii="Times New Roman" w:hAnsi="Times New Roman"/>
          <w:color w:val="auto"/>
          <w:kern w:val="0"/>
          <w:sz w:val="22"/>
          <w:szCs w:val="22"/>
          <w:highlight w:val="none"/>
        </w:rPr>
      </w:pP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 xml:space="preserve"> （项目名称）</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标段监理招标评标委员会</w:t>
      </w:r>
    </w:p>
    <w:p>
      <w:pPr>
        <w:widowControl/>
        <w:shd w:val="clear" w:color="auto" w:fill="FFFFFF"/>
        <w:snapToGrid w:val="0"/>
        <w:spacing w:line="480" w:lineRule="exact"/>
        <w:ind w:firstLine="3740" w:firstLineChars="1700"/>
        <w:jc w:val="center"/>
        <w:rPr>
          <w:rFonts w:ascii="Times New Roman" w:hAnsi="Times New Roman"/>
          <w:color w:val="auto"/>
          <w:kern w:val="0"/>
          <w:sz w:val="22"/>
          <w:szCs w:val="22"/>
          <w:highlight w:val="none"/>
        </w:rPr>
      </w:pPr>
      <w:r>
        <w:rPr>
          <w:rFonts w:ascii="Times New Roman" w:hAnsi="Times New Roman"/>
          <w:color w:val="auto"/>
          <w:kern w:val="0"/>
          <w:sz w:val="22"/>
          <w:szCs w:val="22"/>
          <w:highlight w:val="none"/>
        </w:rPr>
        <w:t>（主任评委签字）</w:t>
      </w:r>
    </w:p>
    <w:p>
      <w:pPr>
        <w:widowControl/>
        <w:shd w:val="clear" w:color="auto" w:fill="FFFFFF"/>
        <w:snapToGrid w:val="0"/>
        <w:spacing w:line="480" w:lineRule="exact"/>
        <w:jc w:val="right"/>
        <w:rPr>
          <w:rFonts w:ascii="Times New Roman" w:hAnsi="Times New Roman"/>
          <w:color w:val="auto"/>
          <w:kern w:val="0"/>
          <w:sz w:val="22"/>
          <w:szCs w:val="22"/>
          <w:highlight w:val="none"/>
        </w:rPr>
      </w:pP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年</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月</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日</w:t>
      </w:r>
    </w:p>
    <w:p>
      <w:pPr>
        <w:widowControl/>
        <w:shd w:val="clear" w:color="auto" w:fill="FFFFFF"/>
        <w:tabs>
          <w:tab w:val="left" w:pos="4500"/>
        </w:tabs>
        <w:snapToGrid w:val="0"/>
        <w:spacing w:line="480" w:lineRule="auto"/>
        <w:jc w:val="left"/>
        <w:rPr>
          <w:rFonts w:ascii="Times New Roman" w:hAnsi="Times New Roman"/>
          <w:b/>
          <w:color w:val="auto"/>
          <w:kern w:val="0"/>
          <w:sz w:val="24"/>
          <w:highlight w:val="none"/>
        </w:rPr>
      </w:pPr>
      <w:r>
        <w:rPr>
          <w:rFonts w:ascii="Times New Roman" w:hAnsi="Times New Roman"/>
          <w:color w:val="auto"/>
          <w:sz w:val="20"/>
          <w:szCs w:val="28"/>
          <w:highlight w:val="none"/>
        </w:rPr>
        <w:br w:type="page"/>
      </w:r>
      <w:r>
        <w:rPr>
          <w:rFonts w:ascii="Times New Roman" w:hAnsi="Times New Roman"/>
          <w:b/>
          <w:color w:val="auto"/>
          <w:kern w:val="0"/>
          <w:sz w:val="24"/>
          <w:highlight w:val="none"/>
        </w:rPr>
        <w:t xml:space="preserve">附表6 </w:t>
      </w:r>
    </w:p>
    <w:p>
      <w:pPr>
        <w:widowControl/>
        <w:shd w:val="clear" w:color="auto" w:fill="FFFFFF"/>
        <w:tabs>
          <w:tab w:val="left" w:pos="4500"/>
        </w:tabs>
        <w:snapToGrid w:val="0"/>
        <w:spacing w:line="480" w:lineRule="auto"/>
        <w:jc w:val="left"/>
        <w:rPr>
          <w:rFonts w:ascii="Times New Roman" w:hAnsi="Times New Roman"/>
          <w:b/>
          <w:color w:val="auto"/>
          <w:kern w:val="0"/>
          <w:sz w:val="24"/>
          <w:highlight w:val="none"/>
        </w:rPr>
      </w:pPr>
    </w:p>
    <w:p>
      <w:pPr>
        <w:widowControl/>
        <w:shd w:val="clear" w:color="auto" w:fill="FFFFFF"/>
        <w:tabs>
          <w:tab w:val="left" w:pos="4500"/>
        </w:tabs>
        <w:snapToGrid w:val="0"/>
        <w:spacing w:line="480" w:lineRule="auto"/>
        <w:jc w:val="center"/>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问题的澄清、说明或补正</w:t>
      </w:r>
    </w:p>
    <w:p>
      <w:pPr>
        <w:widowControl/>
        <w:shd w:val="clear" w:color="auto" w:fill="FFFFFF"/>
        <w:snapToGrid w:val="0"/>
        <w:spacing w:line="400" w:lineRule="exact"/>
        <w:ind w:firstLine="5610" w:firstLineChars="2550"/>
        <w:jc w:val="left"/>
        <w:rPr>
          <w:rFonts w:ascii="Times New Roman" w:hAnsi="Times New Roman"/>
          <w:color w:val="auto"/>
          <w:kern w:val="0"/>
          <w:sz w:val="22"/>
          <w:szCs w:val="22"/>
          <w:highlight w:val="none"/>
          <w:u w:val="single"/>
        </w:rPr>
      </w:pPr>
      <w:r>
        <w:rPr>
          <w:rFonts w:ascii="Times New Roman" w:hAnsi="Times New Roman"/>
          <w:color w:val="auto"/>
          <w:kern w:val="0"/>
          <w:sz w:val="22"/>
          <w:szCs w:val="22"/>
          <w:highlight w:val="none"/>
        </w:rPr>
        <w:t>编号：</w:t>
      </w:r>
      <w:r>
        <w:rPr>
          <w:rFonts w:ascii="Times New Roman" w:hAnsi="Times New Roman"/>
          <w:color w:val="auto"/>
          <w:kern w:val="0"/>
          <w:sz w:val="22"/>
          <w:szCs w:val="22"/>
          <w:highlight w:val="none"/>
          <w:u w:val="single"/>
        </w:rPr>
        <w:t xml:space="preserve">                  </w:t>
      </w:r>
    </w:p>
    <w:p>
      <w:pPr>
        <w:widowControl/>
        <w:shd w:val="clear" w:color="auto" w:fill="FFFFFF"/>
        <w:snapToGrid w:val="0"/>
        <w:spacing w:line="480" w:lineRule="exact"/>
        <w:jc w:val="lef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 xml:space="preserve">  </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（项目名称）</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标段监理招标评标委员会：</w:t>
      </w:r>
    </w:p>
    <w:p>
      <w:pPr>
        <w:widowControl/>
        <w:shd w:val="clear" w:color="auto" w:fill="FFFFFF"/>
        <w:snapToGrid w:val="0"/>
        <w:spacing w:line="480" w:lineRule="exact"/>
        <w:ind w:firstLine="440" w:firstLineChars="200"/>
        <w:jc w:val="lef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问题澄清通知（编号：</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）已收悉，现澄清、说明或者补正如下：</w:t>
      </w:r>
    </w:p>
    <w:p>
      <w:pPr>
        <w:widowControl/>
        <w:shd w:val="clear" w:color="auto" w:fill="FFFFFF"/>
        <w:snapToGrid w:val="0"/>
        <w:spacing w:line="480" w:lineRule="exact"/>
        <w:ind w:firstLine="440" w:firstLineChars="200"/>
        <w:jc w:val="lef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1、</w:t>
      </w:r>
    </w:p>
    <w:p>
      <w:pPr>
        <w:widowControl/>
        <w:shd w:val="clear" w:color="auto" w:fill="FFFFFF"/>
        <w:snapToGrid w:val="0"/>
        <w:spacing w:line="480" w:lineRule="exact"/>
        <w:ind w:firstLine="440" w:firstLineChars="200"/>
        <w:jc w:val="lef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2、</w:t>
      </w:r>
    </w:p>
    <w:p>
      <w:pPr>
        <w:widowControl/>
        <w:shd w:val="clear" w:color="auto" w:fill="FFFFFF"/>
        <w:snapToGrid w:val="0"/>
        <w:spacing w:line="480" w:lineRule="exact"/>
        <w:ind w:firstLine="440" w:firstLineChars="200"/>
        <w:jc w:val="left"/>
        <w:rPr>
          <w:rFonts w:ascii="Times New Roman" w:hAnsi="Times New Roman"/>
          <w:color w:val="auto"/>
          <w:kern w:val="0"/>
          <w:sz w:val="22"/>
          <w:szCs w:val="22"/>
          <w:highlight w:val="none"/>
        </w:rPr>
      </w:pPr>
    </w:p>
    <w:p>
      <w:pPr>
        <w:widowControl/>
        <w:shd w:val="clear" w:color="auto" w:fill="FFFFFF"/>
        <w:snapToGrid w:val="0"/>
        <w:spacing w:line="480" w:lineRule="exact"/>
        <w:ind w:firstLine="440" w:firstLineChars="200"/>
        <w:jc w:val="lef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w:t>
      </w:r>
    </w:p>
    <w:p>
      <w:pPr>
        <w:widowControl/>
        <w:shd w:val="clear" w:color="auto" w:fill="FFFFFF"/>
        <w:snapToGrid w:val="0"/>
        <w:spacing w:line="480" w:lineRule="exact"/>
        <w:ind w:firstLine="440" w:firstLineChars="200"/>
        <w:jc w:val="left"/>
        <w:rPr>
          <w:rFonts w:ascii="Times New Roman" w:hAnsi="Times New Roman"/>
          <w:color w:val="auto"/>
          <w:kern w:val="0"/>
          <w:sz w:val="22"/>
          <w:szCs w:val="22"/>
          <w:highlight w:val="none"/>
        </w:rPr>
      </w:pPr>
    </w:p>
    <w:p>
      <w:pPr>
        <w:widowControl/>
        <w:shd w:val="clear" w:color="auto" w:fill="FFFFFF"/>
        <w:snapToGrid w:val="0"/>
        <w:spacing w:line="480" w:lineRule="exact"/>
        <w:ind w:firstLine="440" w:firstLineChars="200"/>
        <w:jc w:val="left"/>
        <w:rPr>
          <w:rFonts w:ascii="Times New Roman" w:hAnsi="Times New Roman"/>
          <w:color w:val="auto"/>
          <w:kern w:val="0"/>
          <w:sz w:val="22"/>
          <w:szCs w:val="22"/>
          <w:highlight w:val="none"/>
        </w:rPr>
      </w:pPr>
    </w:p>
    <w:p>
      <w:pPr>
        <w:widowControl/>
        <w:shd w:val="clear" w:color="auto" w:fill="FFFFFF"/>
        <w:wordWrap w:val="0"/>
        <w:snapToGrid w:val="0"/>
        <w:spacing w:line="480" w:lineRule="exact"/>
        <w:ind w:firstLine="440" w:firstLineChars="200"/>
        <w:jc w:val="righ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投标人：</w:t>
      </w:r>
      <w:r>
        <w:rPr>
          <w:rFonts w:ascii="Times New Roman" w:hAnsi="Times New Roman"/>
          <w:color w:val="auto"/>
          <w:kern w:val="0"/>
          <w:sz w:val="22"/>
          <w:szCs w:val="22"/>
          <w:highlight w:val="none"/>
          <w:u w:val="single"/>
        </w:rPr>
        <w:t xml:space="preserve">                           </w:t>
      </w:r>
    </w:p>
    <w:p>
      <w:pPr>
        <w:widowControl/>
        <w:shd w:val="clear" w:color="auto" w:fill="FFFFFF"/>
        <w:wordWrap w:val="0"/>
        <w:snapToGrid w:val="0"/>
        <w:spacing w:before="120" w:beforeLines="50" w:after="120" w:afterLines="50" w:line="480" w:lineRule="exact"/>
        <w:jc w:val="righ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 xml:space="preserve">         法定代表人或其委托代理人：</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 xml:space="preserve">（签字）  </w:t>
      </w:r>
    </w:p>
    <w:p>
      <w:pPr>
        <w:widowControl/>
        <w:shd w:val="clear" w:color="auto" w:fill="FFFFFF"/>
        <w:snapToGrid w:val="0"/>
        <w:spacing w:before="120" w:beforeLines="50" w:after="120" w:afterLines="50" w:line="480" w:lineRule="exact"/>
        <w:jc w:val="right"/>
        <w:rPr>
          <w:rFonts w:ascii="Times New Roman" w:hAnsi="Times New Roman"/>
          <w:color w:val="auto"/>
          <w:kern w:val="0"/>
          <w:sz w:val="22"/>
          <w:szCs w:val="22"/>
          <w:highlight w:val="none"/>
        </w:rPr>
      </w:pP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年</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月</w:t>
      </w:r>
      <w:r>
        <w:rPr>
          <w:rFonts w:ascii="Times New Roman" w:hAnsi="Times New Roman"/>
          <w:color w:val="auto"/>
          <w:kern w:val="0"/>
          <w:sz w:val="22"/>
          <w:szCs w:val="22"/>
          <w:highlight w:val="none"/>
          <w:u w:val="single"/>
        </w:rPr>
        <w:t xml:space="preserve">     </w:t>
      </w:r>
      <w:r>
        <w:rPr>
          <w:rFonts w:ascii="Times New Roman" w:hAnsi="Times New Roman"/>
          <w:color w:val="auto"/>
          <w:kern w:val="0"/>
          <w:sz w:val="22"/>
          <w:szCs w:val="22"/>
          <w:highlight w:val="none"/>
        </w:rPr>
        <w:t>日</w:t>
      </w:r>
    </w:p>
    <w:p>
      <w:pPr>
        <w:widowControl/>
        <w:shd w:val="clear" w:color="auto" w:fill="FFFFFF"/>
        <w:snapToGrid w:val="0"/>
        <w:spacing w:line="480" w:lineRule="auto"/>
        <w:jc w:val="center"/>
        <w:rPr>
          <w:rFonts w:ascii="Times New Roman" w:hAnsi="Times New Roman"/>
          <w:color w:val="auto"/>
          <w:kern w:val="0"/>
          <w:sz w:val="22"/>
          <w:szCs w:val="22"/>
          <w:highlight w:val="none"/>
        </w:rPr>
      </w:pPr>
    </w:p>
    <w:p>
      <w:pPr>
        <w:widowControl/>
        <w:shd w:val="clear" w:color="auto" w:fill="FFFFFF"/>
        <w:snapToGrid w:val="0"/>
        <w:spacing w:line="480" w:lineRule="auto"/>
        <w:jc w:val="center"/>
        <w:rPr>
          <w:rFonts w:ascii="Times New Roman" w:hAnsi="Times New Roman"/>
          <w:color w:val="auto"/>
          <w:kern w:val="0"/>
          <w:sz w:val="22"/>
          <w:szCs w:val="22"/>
          <w:highlight w:val="none"/>
        </w:rPr>
      </w:pPr>
    </w:p>
    <w:p>
      <w:pPr>
        <w:widowControl/>
        <w:shd w:val="clear" w:color="auto" w:fill="FFFFFF"/>
        <w:tabs>
          <w:tab w:val="left" w:pos="4500"/>
        </w:tabs>
        <w:snapToGrid w:val="0"/>
        <w:spacing w:line="480" w:lineRule="auto"/>
        <w:jc w:val="center"/>
        <w:rPr>
          <w:rFonts w:ascii="Times New Roman" w:hAnsi="Times New Roman"/>
          <w:color w:val="auto"/>
          <w:kern w:val="0"/>
          <w:sz w:val="22"/>
          <w:szCs w:val="28"/>
          <w:highlight w:val="none"/>
        </w:rPr>
      </w:pPr>
    </w:p>
    <w:p>
      <w:pPr>
        <w:widowControl/>
        <w:shd w:val="clear" w:color="auto" w:fill="FFFFFF"/>
        <w:tabs>
          <w:tab w:val="left" w:pos="4500"/>
        </w:tabs>
        <w:snapToGrid w:val="0"/>
        <w:spacing w:line="480" w:lineRule="auto"/>
        <w:jc w:val="center"/>
        <w:rPr>
          <w:rFonts w:ascii="Times New Roman" w:hAnsi="Times New Roman"/>
          <w:color w:val="auto"/>
          <w:kern w:val="0"/>
          <w:sz w:val="22"/>
          <w:szCs w:val="28"/>
          <w:highlight w:val="none"/>
        </w:rPr>
      </w:pPr>
    </w:p>
    <w:p>
      <w:pPr>
        <w:widowControl/>
        <w:shd w:val="clear" w:color="auto" w:fill="FFFFFF"/>
        <w:tabs>
          <w:tab w:val="left" w:pos="4500"/>
        </w:tabs>
        <w:snapToGrid w:val="0"/>
        <w:spacing w:line="480" w:lineRule="auto"/>
        <w:jc w:val="center"/>
        <w:rPr>
          <w:rFonts w:ascii="Times New Roman" w:hAnsi="Times New Roman"/>
          <w:color w:val="auto"/>
          <w:kern w:val="0"/>
          <w:sz w:val="22"/>
          <w:szCs w:val="28"/>
          <w:highlight w:val="none"/>
        </w:rPr>
      </w:pPr>
    </w:p>
    <w:p>
      <w:pPr>
        <w:widowControl/>
        <w:shd w:val="clear" w:color="auto" w:fill="FFFFFF"/>
        <w:tabs>
          <w:tab w:val="left" w:pos="4500"/>
        </w:tabs>
        <w:snapToGrid w:val="0"/>
        <w:spacing w:line="480" w:lineRule="auto"/>
        <w:jc w:val="center"/>
        <w:rPr>
          <w:rFonts w:ascii="Times New Roman" w:hAnsi="Times New Roman"/>
          <w:color w:val="auto"/>
          <w:kern w:val="0"/>
          <w:sz w:val="22"/>
          <w:szCs w:val="28"/>
          <w:highlight w:val="none"/>
        </w:rPr>
      </w:pPr>
    </w:p>
    <w:p>
      <w:pPr>
        <w:widowControl/>
        <w:shd w:val="clear" w:color="auto" w:fill="FFFFFF"/>
        <w:snapToGrid w:val="0"/>
        <w:spacing w:line="480" w:lineRule="auto"/>
        <w:jc w:val="left"/>
        <w:rPr>
          <w:rFonts w:ascii="Times New Roman" w:hAnsi="Times New Roman"/>
          <w:b/>
          <w:color w:val="auto"/>
          <w:kern w:val="0"/>
          <w:sz w:val="24"/>
          <w:highlight w:val="none"/>
        </w:rPr>
      </w:pPr>
      <w:r>
        <w:rPr>
          <w:rFonts w:ascii="Times New Roman" w:hAnsi="Times New Roman"/>
          <w:color w:val="auto"/>
          <w:sz w:val="32"/>
          <w:szCs w:val="22"/>
          <w:highlight w:val="none"/>
        </w:rPr>
        <w:br w:type="page"/>
      </w:r>
      <w:r>
        <w:rPr>
          <w:rFonts w:ascii="Times New Roman" w:hAnsi="Times New Roman"/>
          <w:b/>
          <w:color w:val="auto"/>
          <w:kern w:val="0"/>
          <w:sz w:val="24"/>
          <w:highlight w:val="none"/>
        </w:rPr>
        <w:t xml:space="preserve">附表7  </w:t>
      </w:r>
    </w:p>
    <w:p>
      <w:pPr>
        <w:widowControl/>
        <w:shd w:val="clear" w:color="auto" w:fill="FFFFFF"/>
        <w:snapToGrid w:val="0"/>
        <w:spacing w:line="480" w:lineRule="auto"/>
        <w:jc w:val="center"/>
        <w:rPr>
          <w:rFonts w:ascii="Times New Roman" w:hAnsi="Times New Roman"/>
          <w:b/>
          <w:color w:val="auto"/>
          <w:kern w:val="0"/>
          <w:sz w:val="24"/>
          <w:highlight w:val="none"/>
        </w:rPr>
      </w:pPr>
      <w:r>
        <w:rPr>
          <w:rFonts w:ascii="Times New Roman" w:hAnsi="Times New Roman"/>
          <w:b/>
          <w:color w:val="auto"/>
          <w:kern w:val="0"/>
          <w:sz w:val="28"/>
          <w:szCs w:val="28"/>
          <w:highlight w:val="none"/>
        </w:rPr>
        <w:t>不合格投标人名单表（废标情况说明</w:t>
      </w:r>
      <w:r>
        <w:rPr>
          <w:rFonts w:ascii="Times New Roman" w:hAnsi="Times New Roman"/>
          <w:b/>
          <w:color w:val="auto"/>
          <w:kern w:val="0"/>
          <w:sz w:val="24"/>
          <w:highlight w:val="none"/>
        </w:rPr>
        <w:t>）</w:t>
      </w:r>
    </w:p>
    <w:tbl>
      <w:tblPr>
        <w:tblStyle w:val="18"/>
        <w:tblW w:w="94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3"/>
        <w:gridCol w:w="4509"/>
        <w:gridCol w:w="41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4" w:hRule="atLeast"/>
        </w:trPr>
        <w:tc>
          <w:tcPr>
            <w:tcW w:w="803" w:type="dxa"/>
            <w:tcBorders>
              <w:top w:val="single" w:color="auto" w:sz="12" w:space="0"/>
              <w:left w:val="single" w:color="auto" w:sz="12"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序号</w:t>
            </w:r>
          </w:p>
        </w:tc>
        <w:tc>
          <w:tcPr>
            <w:tcW w:w="4509" w:type="dxa"/>
            <w:tcBorders>
              <w:top w:val="single" w:color="auto" w:sz="12" w:space="0"/>
              <w:left w:val="single" w:color="auto" w:sz="4"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投标人</w:t>
            </w:r>
          </w:p>
        </w:tc>
        <w:tc>
          <w:tcPr>
            <w:tcW w:w="4118" w:type="dxa"/>
            <w:tcBorders>
              <w:top w:val="single" w:color="auto" w:sz="12" w:space="0"/>
              <w:left w:val="single" w:color="auto" w:sz="4" w:space="0"/>
              <w:bottom w:val="single" w:color="auto" w:sz="4"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不合格原因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88" w:hRule="atLeast"/>
        </w:trPr>
        <w:tc>
          <w:tcPr>
            <w:tcW w:w="803" w:type="dxa"/>
            <w:tcBorders>
              <w:top w:val="single" w:color="auto" w:sz="4" w:space="0"/>
              <w:left w:val="single" w:color="auto" w:sz="12"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4509" w:type="dxa"/>
            <w:tcBorders>
              <w:top w:val="single" w:color="auto" w:sz="4" w:space="0"/>
              <w:left w:val="single" w:color="auto" w:sz="4"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p>
        </w:tc>
        <w:tc>
          <w:tcPr>
            <w:tcW w:w="4118" w:type="dxa"/>
            <w:tcBorders>
              <w:top w:val="single" w:color="auto" w:sz="4" w:space="0"/>
              <w:left w:val="single" w:color="auto" w:sz="4" w:space="0"/>
              <w:bottom w:val="single" w:color="auto" w:sz="4"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92" w:hRule="atLeast"/>
        </w:trPr>
        <w:tc>
          <w:tcPr>
            <w:tcW w:w="803" w:type="dxa"/>
            <w:tcBorders>
              <w:top w:val="single" w:color="auto" w:sz="4" w:space="0"/>
              <w:left w:val="single" w:color="auto" w:sz="12"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4509" w:type="dxa"/>
            <w:tcBorders>
              <w:top w:val="single" w:color="auto" w:sz="4" w:space="0"/>
              <w:left w:val="single" w:color="auto" w:sz="4"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p>
        </w:tc>
        <w:tc>
          <w:tcPr>
            <w:tcW w:w="4118" w:type="dxa"/>
            <w:tcBorders>
              <w:top w:val="single" w:color="auto" w:sz="4" w:space="0"/>
              <w:left w:val="single" w:color="auto" w:sz="4" w:space="0"/>
              <w:bottom w:val="single" w:color="auto" w:sz="4"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84" w:hRule="atLeast"/>
        </w:trPr>
        <w:tc>
          <w:tcPr>
            <w:tcW w:w="803" w:type="dxa"/>
            <w:tcBorders>
              <w:top w:val="single" w:color="auto" w:sz="4" w:space="0"/>
              <w:left w:val="single" w:color="auto" w:sz="12" w:space="0"/>
              <w:bottom w:val="single" w:color="auto" w:sz="12"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p>
        </w:tc>
        <w:tc>
          <w:tcPr>
            <w:tcW w:w="4509" w:type="dxa"/>
            <w:tcBorders>
              <w:top w:val="single" w:color="auto" w:sz="4" w:space="0"/>
              <w:left w:val="single" w:color="auto" w:sz="4" w:space="0"/>
              <w:bottom w:val="single" w:color="auto" w:sz="12"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p>
        </w:tc>
        <w:tc>
          <w:tcPr>
            <w:tcW w:w="4118" w:type="dxa"/>
            <w:tcBorders>
              <w:top w:val="single" w:color="auto" w:sz="4" w:space="0"/>
              <w:left w:val="single" w:color="auto" w:sz="4" w:space="0"/>
              <w:bottom w:val="single" w:color="auto" w:sz="12"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p>
        </w:tc>
      </w:tr>
    </w:tbl>
    <w:p>
      <w:pPr>
        <w:widowControl/>
        <w:shd w:val="clear" w:color="auto" w:fill="FFFFFF"/>
        <w:snapToGrid w:val="0"/>
        <w:spacing w:after="72" w:afterLines="30" w:line="440" w:lineRule="exact"/>
        <w:jc w:val="left"/>
        <w:rPr>
          <w:rFonts w:ascii="Times New Roman" w:hAnsi="Times New Roman"/>
          <w:color w:val="auto"/>
          <w:kern w:val="0"/>
          <w:sz w:val="24"/>
          <w:highlight w:val="none"/>
        </w:rPr>
      </w:pPr>
      <w:r>
        <w:rPr>
          <w:rFonts w:ascii="Times New Roman" w:hAnsi="Times New Roman"/>
          <w:color w:val="auto"/>
          <w:kern w:val="0"/>
          <w:sz w:val="24"/>
          <w:highlight w:val="none"/>
        </w:rPr>
        <w:t>全体评标委员签字/日期：</w:t>
      </w:r>
    </w:p>
    <w:p>
      <w:pPr>
        <w:widowControl/>
        <w:shd w:val="clear" w:color="auto" w:fill="FFFFFF"/>
        <w:snapToGrid w:val="0"/>
        <w:spacing w:after="72" w:afterLines="30" w:line="440" w:lineRule="exact"/>
        <w:jc w:val="left"/>
        <w:rPr>
          <w:rFonts w:ascii="Times New Roman" w:hAnsi="Times New Roman"/>
          <w:b/>
          <w:color w:val="auto"/>
          <w:kern w:val="0"/>
          <w:sz w:val="24"/>
          <w:highlight w:val="none"/>
        </w:rPr>
      </w:pPr>
    </w:p>
    <w:p>
      <w:pPr>
        <w:widowControl/>
        <w:shd w:val="clear" w:color="auto" w:fill="FFFFFF"/>
        <w:snapToGrid w:val="0"/>
        <w:spacing w:line="480" w:lineRule="auto"/>
        <w:jc w:val="left"/>
        <w:rPr>
          <w:rFonts w:ascii="Times New Roman" w:hAnsi="Times New Roman"/>
          <w:b/>
          <w:color w:val="auto"/>
          <w:kern w:val="0"/>
          <w:sz w:val="24"/>
          <w:highlight w:val="none"/>
        </w:rPr>
      </w:pPr>
      <w:r>
        <w:rPr>
          <w:rFonts w:ascii="Times New Roman" w:hAnsi="Times New Roman"/>
          <w:b/>
          <w:color w:val="auto"/>
          <w:kern w:val="0"/>
          <w:sz w:val="24"/>
          <w:highlight w:val="none"/>
        </w:rPr>
        <w:t xml:space="preserve">附表8   </w:t>
      </w:r>
    </w:p>
    <w:p>
      <w:pPr>
        <w:widowControl/>
        <w:shd w:val="clear" w:color="auto" w:fill="FFFFFF"/>
        <w:snapToGrid w:val="0"/>
        <w:spacing w:line="400" w:lineRule="exact"/>
        <w:jc w:val="center"/>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进入详细评审阶段的投标人名单表</w:t>
      </w:r>
    </w:p>
    <w:p>
      <w:pPr>
        <w:widowControl/>
        <w:shd w:val="clear" w:color="auto" w:fill="FFFFFF"/>
        <w:snapToGrid w:val="0"/>
        <w:spacing w:line="480" w:lineRule="auto"/>
        <w:jc w:val="center"/>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（符合要求的投标人一览表）</w:t>
      </w:r>
    </w:p>
    <w:tbl>
      <w:tblPr>
        <w:tblStyle w:val="18"/>
        <w:tblpPr w:leftFromText="180" w:rightFromText="180" w:vertAnchor="text" w:horzAnchor="margin" w:tblpY="194"/>
        <w:tblW w:w="941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7"/>
        <w:gridCol w:w="86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767" w:type="dxa"/>
            <w:tcBorders>
              <w:top w:val="single" w:color="auto" w:sz="12"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序号</w:t>
            </w:r>
          </w:p>
        </w:tc>
        <w:tc>
          <w:tcPr>
            <w:tcW w:w="8648" w:type="dxa"/>
            <w:tcBorders>
              <w:top w:val="single" w:color="auto" w:sz="12" w:space="0"/>
              <w:left w:val="single" w:color="auto"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投标人名称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767"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8648" w:type="dxa"/>
            <w:tcBorders>
              <w:top w:val="single" w:color="auto" w:sz="4" w:space="0"/>
              <w:left w:val="single" w:color="auto"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767"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8648" w:type="dxa"/>
            <w:tcBorders>
              <w:top w:val="single" w:color="auto" w:sz="4" w:space="0"/>
              <w:left w:val="single" w:color="auto"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767"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8648" w:type="dxa"/>
            <w:tcBorders>
              <w:top w:val="single" w:color="auto" w:sz="4" w:space="0"/>
              <w:left w:val="single" w:color="auto"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767"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8648" w:type="dxa"/>
            <w:tcBorders>
              <w:top w:val="single" w:color="auto" w:sz="4" w:space="0"/>
              <w:left w:val="single" w:color="auto"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767" w:type="dxa"/>
            <w:tcBorders>
              <w:top w:val="single" w:color="auto" w:sz="4" w:space="0"/>
              <w:left w:val="single" w:color="auto" w:sz="12" w:space="0"/>
              <w:bottom w:val="single" w:color="auto" w:sz="4" w:space="0"/>
              <w:right w:val="single" w:color="000000"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5</w:t>
            </w:r>
          </w:p>
        </w:tc>
        <w:tc>
          <w:tcPr>
            <w:tcW w:w="8648" w:type="dxa"/>
            <w:tcBorders>
              <w:top w:val="single" w:color="auto" w:sz="4" w:space="0"/>
              <w:left w:val="single" w:color="000000"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767" w:type="dxa"/>
            <w:tcBorders>
              <w:top w:val="single" w:color="auto" w:sz="4" w:space="0"/>
              <w:left w:val="single" w:color="auto" w:sz="12" w:space="0"/>
              <w:bottom w:val="single" w:color="auto" w:sz="12" w:space="0"/>
              <w:right w:val="single" w:color="000000" w:sz="4" w:space="0"/>
            </w:tcBorders>
            <w:vAlign w:val="center"/>
          </w:tcPr>
          <w:p>
            <w:pPr>
              <w:widowControl/>
              <w:spacing w:line="480" w:lineRule="auto"/>
              <w:jc w:val="center"/>
              <w:rPr>
                <w:rFonts w:ascii="Times New Roman" w:hAnsi="Times New Roman"/>
                <w:color w:val="auto"/>
                <w:kern w:val="0"/>
                <w:szCs w:val="21"/>
                <w:highlight w:val="none"/>
              </w:rPr>
            </w:pPr>
          </w:p>
        </w:tc>
        <w:tc>
          <w:tcPr>
            <w:tcW w:w="8648" w:type="dxa"/>
            <w:tcBorders>
              <w:top w:val="single" w:color="auto" w:sz="4" w:space="0"/>
              <w:left w:val="single" w:color="000000" w:sz="4" w:space="0"/>
              <w:bottom w:val="single" w:color="auto" w:sz="12"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p>
        </w:tc>
      </w:tr>
    </w:tbl>
    <w:p>
      <w:pPr>
        <w:widowControl/>
        <w:shd w:val="clear" w:color="auto" w:fill="FFFFFF"/>
        <w:snapToGrid w:val="0"/>
        <w:spacing w:line="480" w:lineRule="auto"/>
        <w:jc w:val="center"/>
        <w:rPr>
          <w:rFonts w:ascii="Times New Roman" w:hAnsi="Times New Roman"/>
          <w:color w:val="auto"/>
          <w:kern w:val="0"/>
          <w:sz w:val="22"/>
          <w:szCs w:val="22"/>
          <w:highlight w:val="none"/>
        </w:rPr>
      </w:pPr>
      <w:r>
        <w:rPr>
          <w:rFonts w:ascii="Times New Roman" w:hAnsi="Times New Roman"/>
          <w:color w:val="auto"/>
          <w:kern w:val="0"/>
          <w:sz w:val="24"/>
          <w:szCs w:val="22"/>
          <w:highlight w:val="none"/>
        </w:rPr>
        <w:t xml:space="preserve">                </w:t>
      </w:r>
    </w:p>
    <w:p>
      <w:pPr>
        <w:widowControl/>
        <w:shd w:val="clear" w:color="auto" w:fill="FFFFFF"/>
        <w:snapToGrid w:val="0"/>
        <w:spacing w:after="72" w:afterLines="30" w:line="440" w:lineRule="exact"/>
        <w:jc w:val="left"/>
        <w:rPr>
          <w:rFonts w:ascii="Times New Roman" w:hAnsi="Times New Roman"/>
          <w:color w:val="auto"/>
          <w:kern w:val="0"/>
          <w:sz w:val="24"/>
          <w:highlight w:val="none"/>
        </w:rPr>
      </w:pPr>
      <w:r>
        <w:rPr>
          <w:rFonts w:ascii="Times New Roman" w:hAnsi="Times New Roman"/>
          <w:color w:val="auto"/>
          <w:kern w:val="0"/>
          <w:sz w:val="24"/>
          <w:highlight w:val="none"/>
        </w:rPr>
        <w:t>全体评标委员签字/日期：</w:t>
      </w:r>
    </w:p>
    <w:p>
      <w:pPr>
        <w:widowControl/>
        <w:shd w:val="clear" w:color="auto" w:fill="FFFFFF"/>
        <w:jc w:val="left"/>
        <w:rPr>
          <w:rFonts w:ascii="Times New Roman" w:hAnsi="Times New Roman"/>
          <w:color w:val="auto"/>
          <w:sz w:val="20"/>
          <w:szCs w:val="22"/>
          <w:highlight w:val="none"/>
        </w:rPr>
        <w:sectPr>
          <w:pgSz w:w="11907" w:h="16840"/>
          <w:pgMar w:top="1134" w:right="992" w:bottom="1134" w:left="1418" w:header="720" w:footer="720" w:gutter="0"/>
          <w:pgNumType w:fmt="numberInDash"/>
          <w:cols w:space="720" w:num="1"/>
        </w:sectPr>
      </w:pPr>
    </w:p>
    <w:p>
      <w:pPr>
        <w:widowControl/>
        <w:shd w:val="clear" w:color="auto" w:fill="FFFFFF"/>
        <w:spacing w:line="400" w:lineRule="exact"/>
        <w:jc w:val="left"/>
        <w:rPr>
          <w:rFonts w:ascii="Times New Roman" w:hAnsi="Times New Roman"/>
          <w:b/>
          <w:color w:val="auto"/>
          <w:kern w:val="0"/>
          <w:sz w:val="24"/>
          <w:highlight w:val="none"/>
        </w:rPr>
      </w:pPr>
      <w:r>
        <w:rPr>
          <w:rFonts w:ascii="Times New Roman" w:hAnsi="Times New Roman"/>
          <w:b/>
          <w:color w:val="auto"/>
          <w:kern w:val="0"/>
          <w:sz w:val="24"/>
          <w:highlight w:val="none"/>
        </w:rPr>
        <w:t>附表9</w:t>
      </w:r>
    </w:p>
    <w:p>
      <w:pPr>
        <w:widowControl/>
        <w:shd w:val="clear" w:color="auto" w:fill="FFFFFF"/>
        <w:spacing w:line="400" w:lineRule="exact"/>
        <w:jc w:val="center"/>
        <w:rPr>
          <w:rFonts w:ascii="Times New Roman" w:hAnsi="Times New Roman"/>
          <w:b/>
          <w:color w:val="auto"/>
          <w:kern w:val="0"/>
          <w:sz w:val="24"/>
          <w:highlight w:val="none"/>
        </w:rPr>
      </w:pPr>
      <w:r>
        <w:rPr>
          <w:rFonts w:ascii="Times New Roman" w:hAnsi="Times New Roman"/>
          <w:b/>
          <w:color w:val="auto"/>
          <w:kern w:val="0"/>
          <w:sz w:val="28"/>
          <w:szCs w:val="28"/>
          <w:highlight w:val="none"/>
        </w:rPr>
        <w:t>权数取值表</w:t>
      </w:r>
    </w:p>
    <w:tbl>
      <w:tblPr>
        <w:tblStyle w:val="18"/>
        <w:tblW w:w="925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9"/>
        <w:gridCol w:w="2780"/>
        <w:gridCol w:w="1390"/>
        <w:gridCol w:w="2225"/>
        <w:gridCol w:w="22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07" w:hRule="atLeast"/>
        </w:trPr>
        <w:tc>
          <w:tcPr>
            <w:tcW w:w="639" w:type="dxa"/>
            <w:tcBorders>
              <w:top w:val="single" w:color="auto" w:sz="12" w:space="0"/>
              <w:left w:val="single" w:color="auto" w:sz="12" w:space="0"/>
              <w:bottom w:val="single" w:color="auto" w:sz="6" w:space="0"/>
              <w:right w:val="single" w:color="auto" w:sz="6"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序号</w:t>
            </w:r>
          </w:p>
        </w:tc>
        <w:tc>
          <w:tcPr>
            <w:tcW w:w="2780" w:type="dxa"/>
            <w:tcBorders>
              <w:top w:val="single" w:color="auto" w:sz="12" w:space="0"/>
              <w:left w:val="single" w:color="auto" w:sz="6" w:space="0"/>
              <w:bottom w:val="single" w:color="auto" w:sz="6" w:space="0"/>
              <w:right w:val="single" w:color="auto" w:sz="6"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计 分 权 数</w:t>
            </w:r>
          </w:p>
        </w:tc>
        <w:tc>
          <w:tcPr>
            <w:tcW w:w="3615" w:type="dxa"/>
            <w:gridSpan w:val="2"/>
            <w:tcBorders>
              <w:top w:val="single" w:color="auto" w:sz="12" w:space="0"/>
              <w:left w:val="single" w:color="auto" w:sz="6" w:space="0"/>
              <w:bottom w:val="single" w:color="auto" w:sz="6"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取 值 范 围</w:t>
            </w:r>
          </w:p>
        </w:tc>
        <w:tc>
          <w:tcPr>
            <w:tcW w:w="2224" w:type="dxa"/>
            <w:tcBorders>
              <w:top w:val="single" w:color="auto" w:sz="12" w:space="0"/>
              <w:left w:val="single" w:color="auto" w:sz="6" w:space="0"/>
              <w:bottom w:val="single" w:color="auto" w:sz="6"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权数取值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5" w:hRule="atLeast"/>
        </w:trPr>
        <w:tc>
          <w:tcPr>
            <w:tcW w:w="639" w:type="dxa"/>
            <w:tcBorders>
              <w:top w:val="single" w:color="auto" w:sz="6" w:space="0"/>
              <w:left w:val="single" w:color="auto" w:sz="12" w:space="0"/>
              <w:bottom w:val="single" w:color="auto" w:sz="6" w:space="0"/>
              <w:right w:val="single" w:color="auto" w:sz="6"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278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监理大纲</w:t>
            </w:r>
          </w:p>
        </w:tc>
        <w:tc>
          <w:tcPr>
            <w:tcW w:w="139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K1</w:t>
            </w:r>
          </w:p>
        </w:tc>
        <w:tc>
          <w:tcPr>
            <w:tcW w:w="222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0.20~0.30</w:t>
            </w:r>
          </w:p>
        </w:tc>
        <w:tc>
          <w:tcPr>
            <w:tcW w:w="222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auto"/>
                <w:szCs w:val="21"/>
                <w:highlight w:val="none"/>
              </w:rPr>
            </w:pPr>
            <w:r>
              <w:rPr>
                <w:rFonts w:hint="eastAsia" w:ascii="Times New Roman" w:hAnsi="Times New Roman"/>
                <w:color w:val="auto"/>
                <w:highlight w:val="none"/>
                <w:lang w:eastAsia="zh-CN"/>
              </w:rPr>
              <w:t>0</w:t>
            </w:r>
            <w:r>
              <w:rPr>
                <w:rFonts w:hint="eastAsia" w:ascii="Times New Roman" w:hAnsi="Times New Roman"/>
                <w:color w:val="auto"/>
                <w:highlight w:val="none"/>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1" w:hRule="atLeast"/>
        </w:trPr>
        <w:tc>
          <w:tcPr>
            <w:tcW w:w="639" w:type="dxa"/>
            <w:tcBorders>
              <w:top w:val="single" w:color="auto" w:sz="6" w:space="0"/>
              <w:left w:val="single" w:color="auto" w:sz="12" w:space="0"/>
              <w:bottom w:val="single" w:color="auto" w:sz="6" w:space="0"/>
              <w:right w:val="single" w:color="auto" w:sz="6"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278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现场监理部机构</w:t>
            </w:r>
          </w:p>
        </w:tc>
        <w:tc>
          <w:tcPr>
            <w:tcW w:w="139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k2</w:t>
            </w:r>
          </w:p>
        </w:tc>
        <w:tc>
          <w:tcPr>
            <w:tcW w:w="222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0.30~0.35</w:t>
            </w:r>
          </w:p>
        </w:tc>
        <w:tc>
          <w:tcPr>
            <w:tcW w:w="222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auto"/>
                <w:szCs w:val="21"/>
                <w:highlight w:val="none"/>
              </w:rPr>
            </w:pPr>
            <w:r>
              <w:rPr>
                <w:rFonts w:ascii="Times New Roman" w:hAnsi="Times New Roman"/>
                <w:color w:val="auto"/>
                <w:highlight w:val="none"/>
              </w:rPr>
              <w:t>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5" w:hRule="atLeast"/>
        </w:trPr>
        <w:tc>
          <w:tcPr>
            <w:tcW w:w="639" w:type="dxa"/>
            <w:tcBorders>
              <w:top w:val="single" w:color="auto" w:sz="6" w:space="0"/>
              <w:left w:val="single" w:color="auto" w:sz="12" w:space="0"/>
              <w:bottom w:val="single" w:color="auto" w:sz="6" w:space="0"/>
              <w:right w:val="single" w:color="auto" w:sz="6"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278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信誉</w:t>
            </w:r>
          </w:p>
        </w:tc>
        <w:tc>
          <w:tcPr>
            <w:tcW w:w="139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K3</w:t>
            </w:r>
          </w:p>
        </w:tc>
        <w:tc>
          <w:tcPr>
            <w:tcW w:w="222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0.20~0.30</w:t>
            </w:r>
          </w:p>
        </w:tc>
        <w:tc>
          <w:tcPr>
            <w:tcW w:w="222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auto"/>
                <w:szCs w:val="21"/>
                <w:highlight w:val="none"/>
              </w:rPr>
            </w:pPr>
            <w:r>
              <w:rPr>
                <w:rFonts w:hint="eastAsia" w:ascii="Times New Roman" w:hAnsi="Times New Roman"/>
                <w:color w:val="auto"/>
                <w:highlight w:val="none"/>
                <w:lang w:val="en-US" w:eastAsia="zh-CN"/>
              </w:rPr>
              <w:t>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39" w:type="dxa"/>
            <w:tcBorders>
              <w:top w:val="single" w:color="auto" w:sz="6" w:space="0"/>
              <w:left w:val="single" w:color="auto" w:sz="12" w:space="0"/>
              <w:bottom w:val="single" w:color="auto" w:sz="12" w:space="0"/>
              <w:right w:val="single" w:color="auto" w:sz="6"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2780"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投标报价</w:t>
            </w:r>
          </w:p>
        </w:tc>
        <w:tc>
          <w:tcPr>
            <w:tcW w:w="1390"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K4</w:t>
            </w:r>
          </w:p>
        </w:tc>
        <w:tc>
          <w:tcPr>
            <w:tcW w:w="2225" w:type="dxa"/>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0.15~0.20</w:t>
            </w:r>
          </w:p>
        </w:tc>
        <w:tc>
          <w:tcPr>
            <w:tcW w:w="2224" w:type="dxa"/>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Times New Roman"/>
                <w:color w:val="auto"/>
                <w:szCs w:val="21"/>
                <w:highlight w:val="none"/>
              </w:rPr>
            </w:pPr>
            <w:r>
              <w:rPr>
                <w:rFonts w:hint="default" w:ascii="Times New Roman" w:hAnsi="Times New Roman"/>
                <w:color w:val="auto"/>
                <w:highlight w:val="none"/>
                <w:lang w:val="en-US"/>
              </w:rPr>
              <w:t>0.</w:t>
            </w:r>
            <w:r>
              <w:rPr>
                <w:rFonts w:hint="eastAsia" w:ascii="Times New Roman" w:hAnsi="Times New Roman"/>
                <w:color w:val="auto"/>
                <w:highlight w:val="none"/>
                <w:lang w:val="en-US" w:eastAsia="zh-CN"/>
              </w:rPr>
              <w:t>15</w:t>
            </w:r>
          </w:p>
        </w:tc>
      </w:tr>
    </w:tbl>
    <w:p>
      <w:pPr>
        <w:widowControl/>
        <w:shd w:val="clear" w:color="auto" w:fill="FFFFFF"/>
        <w:spacing w:line="480" w:lineRule="auto"/>
        <w:jc w:val="lef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备注：招标人应当在招标文件中明确各评标因素的具体权数取值，各评标因素的具体权数之和应等于1。</w:t>
      </w: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pStyle w:val="2"/>
        <w:ind w:firstLine="400"/>
        <w:rPr>
          <w:color w:val="auto"/>
          <w:highlight w:val="none"/>
        </w:rPr>
      </w:pPr>
    </w:p>
    <w:p>
      <w:pPr>
        <w:pStyle w:val="2"/>
        <w:ind w:firstLine="400"/>
        <w:rPr>
          <w:color w:val="auto"/>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80" w:lineRule="auto"/>
        <w:jc w:val="left"/>
        <w:rPr>
          <w:rFonts w:ascii="Times New Roman" w:hAnsi="Times New Roman"/>
          <w:color w:val="auto"/>
          <w:kern w:val="0"/>
          <w:sz w:val="22"/>
          <w:szCs w:val="22"/>
          <w:highlight w:val="none"/>
        </w:rPr>
      </w:pPr>
    </w:p>
    <w:p>
      <w:pPr>
        <w:widowControl/>
        <w:shd w:val="clear" w:color="auto" w:fill="FFFFFF"/>
        <w:spacing w:line="400" w:lineRule="atLeast"/>
        <w:rPr>
          <w:rFonts w:ascii="Times New Roman" w:hAnsi="Times New Roman"/>
          <w:color w:val="auto"/>
          <w:kern w:val="0"/>
          <w:sz w:val="22"/>
          <w:szCs w:val="22"/>
          <w:highlight w:val="none"/>
        </w:rPr>
      </w:pPr>
      <w:r>
        <w:rPr>
          <w:rFonts w:ascii="Times New Roman" w:hAnsi="Times New Roman"/>
          <w:b/>
          <w:color w:val="auto"/>
          <w:kern w:val="0"/>
          <w:sz w:val="24"/>
          <w:highlight w:val="none"/>
        </w:rPr>
        <w:t xml:space="preserve">附表10                     </w:t>
      </w:r>
      <w:r>
        <w:rPr>
          <w:rFonts w:ascii="Times New Roman" w:hAnsi="Times New Roman"/>
          <w:b/>
          <w:color w:val="auto"/>
          <w:kern w:val="0"/>
          <w:sz w:val="28"/>
          <w:szCs w:val="28"/>
          <w:highlight w:val="none"/>
        </w:rPr>
        <w:t>监理大纲评审计分表</w:t>
      </w:r>
    </w:p>
    <w:p>
      <w:pPr>
        <w:widowControl/>
        <w:shd w:val="clear" w:color="auto" w:fill="FFFFFF"/>
        <w:spacing w:line="400" w:lineRule="atLeast"/>
        <w:jc w:val="left"/>
        <w:rPr>
          <w:rFonts w:ascii="Times New Roman" w:hAnsi="Times New Roman"/>
          <w:b/>
          <w:color w:val="auto"/>
          <w:kern w:val="0"/>
          <w:sz w:val="24"/>
          <w:highlight w:val="none"/>
        </w:rPr>
      </w:pPr>
      <w:r>
        <w:rPr>
          <w:rFonts w:ascii="Times New Roman" w:hAnsi="Times New Roman"/>
          <w:b/>
          <w:color w:val="auto"/>
          <w:kern w:val="0"/>
          <w:sz w:val="24"/>
          <w:highlight w:val="none"/>
        </w:rPr>
        <w:t xml:space="preserve">           </w:t>
      </w:r>
    </w:p>
    <w:tbl>
      <w:tblPr>
        <w:tblStyle w:val="18"/>
        <w:tblpPr w:leftFromText="180" w:rightFromText="180" w:vertAnchor="page" w:horzAnchor="margin" w:tblpX="86" w:tblpY="2340"/>
        <w:tblW w:w="920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6"/>
        <w:gridCol w:w="1892"/>
        <w:gridCol w:w="4560"/>
        <w:gridCol w:w="1271"/>
        <w:gridCol w:w="8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tcBorders>
              <w:top w:val="single" w:color="auto" w:sz="12" w:space="0"/>
              <w:left w:val="single" w:color="auto" w:sz="12"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序号</w:t>
            </w:r>
          </w:p>
        </w:tc>
        <w:tc>
          <w:tcPr>
            <w:tcW w:w="1892" w:type="dxa"/>
            <w:tcBorders>
              <w:top w:val="single" w:color="auto" w:sz="12"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w:t>
            </w:r>
          </w:p>
        </w:tc>
        <w:tc>
          <w:tcPr>
            <w:tcW w:w="4560" w:type="dxa"/>
            <w:tcBorders>
              <w:top w:val="single" w:color="auto" w:sz="12"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评 分 标 准</w:t>
            </w:r>
          </w:p>
        </w:tc>
        <w:tc>
          <w:tcPr>
            <w:tcW w:w="1271" w:type="dxa"/>
            <w:tcBorders>
              <w:top w:val="single" w:color="auto" w:sz="12"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分值</w:t>
            </w:r>
          </w:p>
        </w:tc>
        <w:tc>
          <w:tcPr>
            <w:tcW w:w="876" w:type="dxa"/>
            <w:tcBorders>
              <w:top w:val="single" w:color="auto" w:sz="12" w:space="0"/>
              <w:left w:val="single" w:color="auto" w:sz="6" w:space="0"/>
              <w:bottom w:val="single" w:color="auto" w:sz="6" w:space="0"/>
              <w:right w:val="single" w:color="auto" w:sz="12"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restart"/>
            <w:tcBorders>
              <w:top w:val="single" w:color="auto" w:sz="6" w:space="0"/>
              <w:left w:val="single" w:color="auto" w:sz="12"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1892" w:type="dxa"/>
            <w:vMerge w:val="restart"/>
            <w:tcBorders>
              <w:top w:val="single" w:color="auto" w:sz="6"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监理目标、</w:t>
            </w:r>
          </w:p>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范围和任务</w:t>
            </w: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监理目标、范围和任务明确、具体、符合招标文件的要求</w:t>
            </w:r>
          </w:p>
        </w:tc>
        <w:tc>
          <w:tcPr>
            <w:tcW w:w="1271" w:type="dxa"/>
            <w:tcBorders>
              <w:top w:val="single" w:color="auto" w:sz="6" w:space="0"/>
              <w:left w:val="single" w:color="auto" w:sz="6" w:space="0"/>
              <w:bottom w:val="single" w:color="auto" w:sz="6" w:space="0"/>
              <w:right w:val="single" w:color="auto" w:sz="6" w:space="0"/>
            </w:tcBorders>
            <w:vAlign w:val="center"/>
          </w:tcPr>
          <w:p>
            <w:pPr>
              <w:widowControl/>
              <w:spacing w:line="280" w:lineRule="exact"/>
              <w:ind w:left="-36" w:leftChars="-17" w:right="-40" w:rightChars="-19"/>
              <w:jc w:val="center"/>
              <w:rPr>
                <w:rFonts w:ascii="Times New Roman" w:hAnsi="Times New Roman"/>
                <w:color w:val="auto"/>
                <w:kern w:val="0"/>
                <w:szCs w:val="21"/>
                <w:highlight w:val="none"/>
              </w:rPr>
            </w:pPr>
            <w:r>
              <w:rPr>
                <w:rFonts w:ascii="Times New Roman" w:hAnsi="Times New Roman"/>
                <w:color w:val="auto"/>
                <w:kern w:val="0"/>
                <w:szCs w:val="21"/>
                <w:highlight w:val="none"/>
              </w:rPr>
              <w:t>8</w:t>
            </w:r>
          </w:p>
        </w:tc>
        <w:tc>
          <w:tcPr>
            <w:tcW w:w="876" w:type="dxa"/>
            <w:vMerge w:val="restart"/>
            <w:tcBorders>
              <w:top w:val="single" w:color="auto" w:sz="6" w:space="0"/>
              <w:left w:val="single" w:color="auto" w:sz="6" w:space="0"/>
              <w:bottom w:val="single" w:color="auto" w:sz="6" w:space="0"/>
              <w:right w:val="single" w:color="auto" w:sz="12" w:space="0"/>
            </w:tcBorders>
            <w:vAlign w:val="center"/>
          </w:tcPr>
          <w:p>
            <w:pPr>
              <w:widowControl/>
              <w:spacing w:line="28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1892"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监理目标、范围和任务欠明确、欠具体</w:t>
            </w:r>
          </w:p>
        </w:tc>
        <w:tc>
          <w:tcPr>
            <w:tcW w:w="1271" w:type="dxa"/>
            <w:tcBorders>
              <w:top w:val="single" w:color="auto" w:sz="6" w:space="0"/>
              <w:left w:val="single" w:color="auto" w:sz="6" w:space="0"/>
              <w:bottom w:val="single" w:color="auto" w:sz="6" w:space="0"/>
              <w:right w:val="single" w:color="auto" w:sz="6" w:space="0"/>
            </w:tcBorders>
            <w:vAlign w:val="center"/>
          </w:tcPr>
          <w:p>
            <w:pPr>
              <w:widowControl/>
              <w:spacing w:line="280" w:lineRule="exact"/>
              <w:ind w:left="-36" w:leftChars="-17" w:right="-40" w:rightChars="-19"/>
              <w:jc w:val="center"/>
              <w:rPr>
                <w:rFonts w:ascii="Times New Roman" w:hAnsi="Times New Roman"/>
                <w:color w:val="auto"/>
                <w:kern w:val="0"/>
                <w:szCs w:val="21"/>
                <w:highlight w:val="none"/>
              </w:rPr>
            </w:pPr>
            <w:r>
              <w:rPr>
                <w:rFonts w:ascii="Times New Roman" w:hAnsi="Times New Roman"/>
                <w:color w:val="auto"/>
                <w:kern w:val="0"/>
                <w:szCs w:val="21"/>
                <w:highlight w:val="none"/>
              </w:rPr>
              <w:t>6-7</w:t>
            </w:r>
          </w:p>
        </w:tc>
        <w:tc>
          <w:tcPr>
            <w:tcW w:w="876"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restart"/>
            <w:tcBorders>
              <w:top w:val="single" w:color="auto" w:sz="6" w:space="0"/>
              <w:left w:val="single" w:color="auto" w:sz="12"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1892" w:type="dxa"/>
            <w:vMerge w:val="restart"/>
            <w:tcBorders>
              <w:top w:val="single" w:color="auto" w:sz="6"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监理组织</w:t>
            </w: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监理组织结构形式合理、各监理人员职责任务明确</w:t>
            </w:r>
          </w:p>
        </w:tc>
        <w:tc>
          <w:tcPr>
            <w:tcW w:w="1271" w:type="dxa"/>
            <w:tcBorders>
              <w:top w:val="single" w:color="auto" w:sz="6" w:space="0"/>
              <w:left w:val="single" w:color="auto" w:sz="6" w:space="0"/>
              <w:bottom w:val="single" w:color="auto" w:sz="6" w:space="0"/>
              <w:right w:val="single" w:color="auto" w:sz="6" w:space="0"/>
            </w:tcBorders>
            <w:vAlign w:val="center"/>
          </w:tcPr>
          <w:p>
            <w:pPr>
              <w:widowControl/>
              <w:spacing w:line="280" w:lineRule="exact"/>
              <w:ind w:left="-36" w:leftChars="-17" w:right="-40" w:rightChars="-19"/>
              <w:jc w:val="center"/>
              <w:rPr>
                <w:rFonts w:ascii="Times New Roman" w:hAnsi="Times New Roman"/>
                <w:color w:val="auto"/>
                <w:kern w:val="0"/>
                <w:szCs w:val="21"/>
                <w:highlight w:val="none"/>
              </w:rPr>
            </w:pPr>
            <w:r>
              <w:rPr>
                <w:rFonts w:ascii="Times New Roman" w:hAnsi="Times New Roman"/>
                <w:color w:val="auto"/>
                <w:kern w:val="0"/>
                <w:szCs w:val="21"/>
                <w:highlight w:val="none"/>
              </w:rPr>
              <w:t>19-20</w:t>
            </w:r>
          </w:p>
        </w:tc>
        <w:tc>
          <w:tcPr>
            <w:tcW w:w="876" w:type="dxa"/>
            <w:vMerge w:val="restart"/>
            <w:tcBorders>
              <w:top w:val="single" w:color="auto" w:sz="6" w:space="0"/>
              <w:left w:val="single" w:color="auto" w:sz="6" w:space="0"/>
              <w:bottom w:val="single" w:color="auto" w:sz="6" w:space="0"/>
              <w:right w:val="single" w:color="auto" w:sz="12" w:space="0"/>
            </w:tcBorders>
            <w:vAlign w:val="center"/>
          </w:tcPr>
          <w:p>
            <w:pPr>
              <w:widowControl/>
              <w:spacing w:line="28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1892"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监理组织结构形式欠合理、各监理人员职责任务欠明确</w:t>
            </w:r>
          </w:p>
        </w:tc>
        <w:tc>
          <w:tcPr>
            <w:tcW w:w="1271" w:type="dxa"/>
            <w:tcBorders>
              <w:top w:val="single" w:color="auto" w:sz="6" w:space="0"/>
              <w:left w:val="single" w:color="auto" w:sz="6" w:space="0"/>
              <w:bottom w:val="single" w:color="auto" w:sz="6" w:space="0"/>
              <w:right w:val="single" w:color="auto" w:sz="6" w:space="0"/>
            </w:tcBorders>
            <w:vAlign w:val="center"/>
          </w:tcPr>
          <w:p>
            <w:pPr>
              <w:widowControl/>
              <w:spacing w:line="280" w:lineRule="exact"/>
              <w:ind w:left="-36" w:leftChars="-17" w:right="-40" w:rightChars="-19"/>
              <w:jc w:val="center"/>
              <w:rPr>
                <w:rFonts w:ascii="Times New Roman" w:hAnsi="Times New Roman"/>
                <w:color w:val="auto"/>
                <w:kern w:val="0"/>
                <w:szCs w:val="21"/>
                <w:highlight w:val="none"/>
              </w:rPr>
            </w:pPr>
            <w:r>
              <w:rPr>
                <w:rFonts w:ascii="Times New Roman" w:hAnsi="Times New Roman"/>
                <w:color w:val="auto"/>
                <w:kern w:val="0"/>
                <w:szCs w:val="21"/>
                <w:highlight w:val="none"/>
              </w:rPr>
              <w:t>15-18</w:t>
            </w:r>
          </w:p>
        </w:tc>
        <w:tc>
          <w:tcPr>
            <w:tcW w:w="876"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restart"/>
            <w:tcBorders>
              <w:top w:val="single" w:color="auto" w:sz="6" w:space="0"/>
              <w:left w:val="single" w:color="auto" w:sz="12"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1892" w:type="dxa"/>
            <w:vMerge w:val="restart"/>
            <w:tcBorders>
              <w:top w:val="single" w:color="auto" w:sz="6"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监理方案</w:t>
            </w: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完整、合理、可行</w:t>
            </w:r>
          </w:p>
        </w:tc>
        <w:tc>
          <w:tcPr>
            <w:tcW w:w="1271" w:type="dxa"/>
            <w:tcBorders>
              <w:top w:val="single" w:color="auto" w:sz="6" w:space="0"/>
              <w:left w:val="single" w:color="auto" w:sz="6" w:space="0"/>
              <w:bottom w:val="single" w:color="auto" w:sz="6" w:space="0"/>
              <w:right w:val="single" w:color="auto" w:sz="6" w:space="0"/>
            </w:tcBorders>
            <w:vAlign w:val="center"/>
          </w:tcPr>
          <w:p>
            <w:pPr>
              <w:widowControl/>
              <w:spacing w:line="280" w:lineRule="exact"/>
              <w:ind w:left="-36" w:leftChars="-17" w:right="-40" w:rightChars="-19"/>
              <w:jc w:val="center"/>
              <w:rPr>
                <w:rFonts w:ascii="Times New Roman" w:hAnsi="Times New Roman"/>
                <w:color w:val="auto"/>
                <w:kern w:val="0"/>
                <w:szCs w:val="21"/>
                <w:highlight w:val="none"/>
              </w:rPr>
            </w:pPr>
            <w:r>
              <w:rPr>
                <w:rFonts w:ascii="Times New Roman" w:hAnsi="Times New Roman"/>
                <w:color w:val="auto"/>
                <w:kern w:val="0"/>
                <w:szCs w:val="21"/>
                <w:highlight w:val="none"/>
              </w:rPr>
              <w:t>19-20</w:t>
            </w:r>
          </w:p>
        </w:tc>
        <w:tc>
          <w:tcPr>
            <w:tcW w:w="876" w:type="dxa"/>
            <w:vMerge w:val="restart"/>
            <w:tcBorders>
              <w:top w:val="single" w:color="auto" w:sz="6" w:space="0"/>
              <w:left w:val="single" w:color="auto" w:sz="6" w:space="0"/>
              <w:bottom w:val="single" w:color="auto" w:sz="6" w:space="0"/>
              <w:right w:val="single" w:color="auto" w:sz="12" w:space="0"/>
            </w:tcBorders>
            <w:vAlign w:val="center"/>
          </w:tcPr>
          <w:p>
            <w:pPr>
              <w:widowControl/>
              <w:spacing w:line="28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1892"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欠完整、欠合理</w:t>
            </w:r>
          </w:p>
        </w:tc>
        <w:tc>
          <w:tcPr>
            <w:tcW w:w="1271" w:type="dxa"/>
            <w:tcBorders>
              <w:top w:val="single" w:color="auto" w:sz="6" w:space="0"/>
              <w:left w:val="single" w:color="auto" w:sz="6" w:space="0"/>
              <w:bottom w:val="single" w:color="auto" w:sz="6" w:space="0"/>
              <w:right w:val="single" w:color="auto" w:sz="6" w:space="0"/>
            </w:tcBorders>
            <w:vAlign w:val="center"/>
          </w:tcPr>
          <w:p>
            <w:pPr>
              <w:widowControl/>
              <w:spacing w:line="280" w:lineRule="exact"/>
              <w:ind w:left="-36" w:leftChars="-17" w:right="-40" w:rightChars="-19"/>
              <w:jc w:val="center"/>
              <w:rPr>
                <w:rFonts w:ascii="Times New Roman" w:hAnsi="Times New Roman"/>
                <w:color w:val="auto"/>
                <w:kern w:val="0"/>
                <w:szCs w:val="21"/>
                <w:highlight w:val="none"/>
              </w:rPr>
            </w:pPr>
            <w:r>
              <w:rPr>
                <w:rFonts w:ascii="Times New Roman" w:hAnsi="Times New Roman"/>
                <w:color w:val="auto"/>
                <w:kern w:val="0"/>
                <w:szCs w:val="21"/>
                <w:highlight w:val="none"/>
              </w:rPr>
              <w:t>15-18</w:t>
            </w:r>
          </w:p>
        </w:tc>
        <w:tc>
          <w:tcPr>
            <w:tcW w:w="876"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restart"/>
            <w:tcBorders>
              <w:top w:val="single" w:color="auto" w:sz="6" w:space="0"/>
              <w:left w:val="single" w:color="auto" w:sz="12"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1892" w:type="dxa"/>
            <w:vMerge w:val="restart"/>
            <w:tcBorders>
              <w:top w:val="single" w:color="auto" w:sz="6"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监理工作流程</w:t>
            </w: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详细、合理，有针对性</w:t>
            </w:r>
          </w:p>
        </w:tc>
        <w:tc>
          <w:tcPr>
            <w:tcW w:w="1271"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11-12</w:t>
            </w:r>
          </w:p>
        </w:tc>
        <w:tc>
          <w:tcPr>
            <w:tcW w:w="876" w:type="dxa"/>
            <w:vMerge w:val="restart"/>
            <w:tcBorders>
              <w:top w:val="single" w:color="auto" w:sz="6" w:space="0"/>
              <w:left w:val="single" w:color="auto" w:sz="6" w:space="0"/>
              <w:bottom w:val="single" w:color="auto" w:sz="6" w:space="0"/>
              <w:right w:val="single" w:color="auto" w:sz="12" w:space="0"/>
            </w:tcBorders>
            <w:vAlign w:val="center"/>
          </w:tcPr>
          <w:p>
            <w:pPr>
              <w:widowControl/>
              <w:spacing w:line="28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1892"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欠详细，欠合理</w:t>
            </w:r>
          </w:p>
        </w:tc>
        <w:tc>
          <w:tcPr>
            <w:tcW w:w="1271"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9-10</w:t>
            </w:r>
          </w:p>
        </w:tc>
        <w:tc>
          <w:tcPr>
            <w:tcW w:w="876"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restart"/>
            <w:tcBorders>
              <w:top w:val="single" w:color="auto" w:sz="6" w:space="0"/>
              <w:left w:val="single" w:color="auto" w:sz="12"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5</w:t>
            </w:r>
          </w:p>
        </w:tc>
        <w:tc>
          <w:tcPr>
            <w:tcW w:w="1892" w:type="dxa"/>
            <w:vMerge w:val="restart"/>
            <w:tcBorders>
              <w:top w:val="single" w:color="auto" w:sz="6"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监理措施</w:t>
            </w: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根据工程重点、难点分析，监理措施得力</w:t>
            </w:r>
          </w:p>
        </w:tc>
        <w:tc>
          <w:tcPr>
            <w:tcW w:w="1271"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23-25</w:t>
            </w:r>
          </w:p>
        </w:tc>
        <w:tc>
          <w:tcPr>
            <w:tcW w:w="876" w:type="dxa"/>
            <w:vMerge w:val="restart"/>
            <w:tcBorders>
              <w:top w:val="single" w:color="auto" w:sz="6" w:space="0"/>
              <w:left w:val="single" w:color="auto" w:sz="6" w:space="0"/>
              <w:bottom w:val="single" w:color="auto" w:sz="6" w:space="0"/>
              <w:right w:val="single" w:color="auto" w:sz="12" w:space="0"/>
            </w:tcBorders>
            <w:vAlign w:val="center"/>
          </w:tcPr>
          <w:p>
            <w:pPr>
              <w:widowControl/>
              <w:spacing w:line="28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1892"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措施一般</w:t>
            </w:r>
          </w:p>
        </w:tc>
        <w:tc>
          <w:tcPr>
            <w:tcW w:w="1271" w:type="dxa"/>
            <w:tcBorders>
              <w:top w:val="single" w:color="auto" w:sz="6" w:space="0"/>
              <w:left w:val="single" w:color="auto" w:sz="6" w:space="0"/>
              <w:bottom w:val="single" w:color="auto" w:sz="4"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19-22</w:t>
            </w:r>
          </w:p>
        </w:tc>
        <w:tc>
          <w:tcPr>
            <w:tcW w:w="876" w:type="dxa"/>
            <w:vMerge w:val="continue"/>
            <w:tcBorders>
              <w:top w:val="single" w:color="auto" w:sz="6" w:space="0"/>
              <w:left w:val="single" w:color="auto" w:sz="6" w:space="0"/>
              <w:bottom w:val="single" w:color="auto" w:sz="4" w:space="0"/>
              <w:right w:val="single" w:color="auto" w:sz="12" w:space="0"/>
            </w:tcBorders>
            <w:vAlign w:val="center"/>
          </w:tcPr>
          <w:p>
            <w:pPr>
              <w:widowControl/>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1892"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有合理化建议且具有积极意义</w:t>
            </w:r>
          </w:p>
        </w:tc>
        <w:tc>
          <w:tcPr>
            <w:tcW w:w="1271" w:type="dxa"/>
            <w:tcBorders>
              <w:top w:val="single" w:color="auto" w:sz="4"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1-3</w:t>
            </w:r>
          </w:p>
        </w:tc>
        <w:tc>
          <w:tcPr>
            <w:tcW w:w="876" w:type="dxa"/>
            <w:tcBorders>
              <w:top w:val="single" w:color="auto" w:sz="4" w:space="0"/>
              <w:left w:val="single" w:color="auto" w:sz="6" w:space="0"/>
              <w:bottom w:val="single" w:color="auto" w:sz="6" w:space="0"/>
              <w:right w:val="single" w:color="auto" w:sz="12" w:space="0"/>
            </w:tcBorders>
            <w:vAlign w:val="center"/>
          </w:tcPr>
          <w:p>
            <w:pPr>
              <w:widowControl/>
              <w:jc w:val="left"/>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restart"/>
            <w:tcBorders>
              <w:top w:val="single" w:color="auto" w:sz="6" w:space="0"/>
              <w:left w:val="single" w:color="auto" w:sz="12"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6</w:t>
            </w:r>
          </w:p>
        </w:tc>
        <w:tc>
          <w:tcPr>
            <w:tcW w:w="1892" w:type="dxa"/>
            <w:vMerge w:val="restart"/>
            <w:tcBorders>
              <w:top w:val="single" w:color="auto" w:sz="6"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拟投入的检测</w:t>
            </w:r>
          </w:p>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仪器设备</w:t>
            </w: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合理</w:t>
            </w:r>
          </w:p>
        </w:tc>
        <w:tc>
          <w:tcPr>
            <w:tcW w:w="1271"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14-15</w:t>
            </w:r>
          </w:p>
        </w:tc>
        <w:tc>
          <w:tcPr>
            <w:tcW w:w="876" w:type="dxa"/>
            <w:tcBorders>
              <w:top w:val="single" w:color="auto" w:sz="6" w:space="0"/>
              <w:left w:val="single" w:color="auto" w:sz="6" w:space="0"/>
              <w:bottom w:val="single" w:color="auto" w:sz="6" w:space="0"/>
              <w:right w:val="single" w:color="auto" w:sz="12" w:space="0"/>
            </w:tcBorders>
            <w:vAlign w:val="center"/>
          </w:tcPr>
          <w:p>
            <w:pPr>
              <w:widowControl/>
              <w:spacing w:line="280" w:lineRule="exact"/>
              <w:ind w:left="-73" w:leftChars="-35" w:right="-86" w:rightChars="-41"/>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1892"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highlight w:val="none"/>
              </w:rPr>
            </w:pPr>
          </w:p>
        </w:tc>
        <w:tc>
          <w:tcPr>
            <w:tcW w:w="4560"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欠合理</w:t>
            </w:r>
          </w:p>
        </w:tc>
        <w:tc>
          <w:tcPr>
            <w:tcW w:w="1271" w:type="dxa"/>
            <w:tcBorders>
              <w:top w:val="single" w:color="auto" w:sz="6" w:space="0"/>
              <w:left w:val="single" w:color="auto" w:sz="6" w:space="0"/>
              <w:bottom w:val="single" w:color="auto" w:sz="6"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11-13</w:t>
            </w:r>
          </w:p>
        </w:tc>
        <w:tc>
          <w:tcPr>
            <w:tcW w:w="876" w:type="dxa"/>
            <w:tcBorders>
              <w:top w:val="single" w:color="auto" w:sz="6" w:space="0"/>
              <w:left w:val="single" w:color="auto" w:sz="6" w:space="0"/>
              <w:bottom w:val="single" w:color="auto" w:sz="6" w:space="0"/>
              <w:right w:val="single" w:color="auto" w:sz="12" w:space="0"/>
            </w:tcBorders>
            <w:vAlign w:val="center"/>
          </w:tcPr>
          <w:p>
            <w:pPr>
              <w:widowControl/>
              <w:spacing w:line="280" w:lineRule="exact"/>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606" w:type="dxa"/>
            <w:tcBorders>
              <w:top w:val="single" w:color="auto" w:sz="6" w:space="0"/>
              <w:left w:val="single" w:color="auto" w:sz="12" w:space="0"/>
              <w:bottom w:val="single" w:color="auto" w:sz="12"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7</w:t>
            </w:r>
          </w:p>
        </w:tc>
        <w:tc>
          <w:tcPr>
            <w:tcW w:w="6452" w:type="dxa"/>
            <w:gridSpan w:val="2"/>
            <w:tcBorders>
              <w:top w:val="single" w:color="auto" w:sz="6" w:space="0"/>
              <w:left w:val="single" w:color="auto" w:sz="6" w:space="0"/>
              <w:bottom w:val="single" w:color="auto" w:sz="12" w:space="0"/>
              <w:right w:val="single" w:color="auto" w:sz="6" w:space="0"/>
            </w:tcBorders>
            <w:vAlign w:val="center"/>
          </w:tcPr>
          <w:p>
            <w:pPr>
              <w:widowControl/>
              <w:spacing w:line="28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合   计</w:t>
            </w:r>
          </w:p>
        </w:tc>
        <w:tc>
          <w:tcPr>
            <w:tcW w:w="1271" w:type="dxa"/>
            <w:tcBorders>
              <w:top w:val="single" w:color="auto" w:sz="6" w:space="0"/>
              <w:left w:val="single" w:color="auto" w:sz="6" w:space="0"/>
              <w:bottom w:val="single" w:color="auto" w:sz="12" w:space="0"/>
              <w:right w:val="single" w:color="auto" w:sz="6" w:space="0"/>
            </w:tcBorders>
            <w:vAlign w:val="center"/>
          </w:tcPr>
          <w:p>
            <w:pPr>
              <w:widowControl/>
              <w:spacing w:line="280" w:lineRule="exact"/>
              <w:jc w:val="left"/>
              <w:rPr>
                <w:rFonts w:ascii="Times New Roman" w:hAnsi="Times New Roman"/>
                <w:color w:val="auto"/>
                <w:kern w:val="0"/>
                <w:szCs w:val="21"/>
                <w:highlight w:val="none"/>
              </w:rPr>
            </w:pPr>
          </w:p>
        </w:tc>
        <w:tc>
          <w:tcPr>
            <w:tcW w:w="876" w:type="dxa"/>
            <w:tcBorders>
              <w:top w:val="single" w:color="auto" w:sz="6" w:space="0"/>
              <w:left w:val="single" w:color="auto" w:sz="6" w:space="0"/>
              <w:bottom w:val="single" w:color="auto" w:sz="12" w:space="0"/>
              <w:right w:val="single" w:color="auto" w:sz="12" w:space="0"/>
            </w:tcBorders>
            <w:vAlign w:val="center"/>
          </w:tcPr>
          <w:p>
            <w:pPr>
              <w:widowControl/>
              <w:spacing w:line="280" w:lineRule="exact"/>
              <w:jc w:val="center"/>
              <w:rPr>
                <w:rFonts w:ascii="Times New Roman" w:hAnsi="Times New Roman"/>
                <w:color w:val="auto"/>
                <w:kern w:val="0"/>
                <w:szCs w:val="21"/>
                <w:highlight w:val="none"/>
              </w:rPr>
            </w:pPr>
          </w:p>
        </w:tc>
      </w:tr>
    </w:tbl>
    <w:p>
      <w:pPr>
        <w:widowControl/>
        <w:shd w:val="clear" w:color="auto" w:fill="FFFFFF"/>
        <w:spacing w:line="480" w:lineRule="auto"/>
        <w:jc w:val="left"/>
        <w:rPr>
          <w:rFonts w:ascii="Times New Roman" w:hAnsi="Times New Roman"/>
          <w:color w:val="auto"/>
          <w:kern w:val="0"/>
          <w:sz w:val="24"/>
          <w:highlight w:val="none"/>
        </w:rPr>
      </w:pPr>
      <w:r>
        <w:rPr>
          <w:rFonts w:ascii="Times New Roman" w:hAnsi="Times New Roman" w:eastAsia="楷体_GB2312"/>
          <w:color w:val="auto"/>
          <w:kern w:val="0"/>
          <w:sz w:val="24"/>
          <w:highlight w:val="none"/>
        </w:rPr>
        <w:t>备注：监理大纲中应当具备的项目缺项的，该项目计零分。</w:t>
      </w:r>
    </w:p>
    <w:p>
      <w:pPr>
        <w:widowControl/>
        <w:shd w:val="clear" w:color="auto" w:fill="FFFFFF"/>
        <w:spacing w:line="480" w:lineRule="auto"/>
        <w:jc w:val="left"/>
        <w:rPr>
          <w:rFonts w:ascii="Times New Roman" w:hAnsi="Times New Roman"/>
          <w:color w:val="auto"/>
          <w:kern w:val="0"/>
          <w:sz w:val="24"/>
          <w:highlight w:val="none"/>
        </w:rPr>
      </w:pPr>
      <w:r>
        <w:rPr>
          <w:rFonts w:ascii="Times New Roman" w:hAnsi="Times New Roman"/>
          <w:color w:val="auto"/>
          <w:kern w:val="0"/>
          <w:sz w:val="24"/>
          <w:highlight w:val="none"/>
        </w:rPr>
        <w:t>评标委员签字/日期：</w:t>
      </w:r>
    </w:p>
    <w:p>
      <w:pPr>
        <w:widowControl/>
        <w:shd w:val="clear" w:color="auto" w:fill="FFFFFF"/>
        <w:spacing w:line="360" w:lineRule="exact"/>
        <w:jc w:val="left"/>
        <w:rPr>
          <w:rFonts w:ascii="Times New Roman" w:hAnsi="Times New Roman"/>
          <w:b/>
          <w:color w:val="auto"/>
          <w:kern w:val="0"/>
          <w:sz w:val="24"/>
          <w:highlight w:val="none"/>
        </w:rPr>
      </w:pPr>
      <w:r>
        <w:rPr>
          <w:rFonts w:ascii="Times New Roman" w:hAnsi="Times New Roman"/>
          <w:color w:val="auto"/>
          <w:sz w:val="20"/>
          <w:szCs w:val="22"/>
          <w:highlight w:val="none"/>
        </w:rPr>
        <w:br w:type="page"/>
      </w:r>
      <w:r>
        <w:rPr>
          <w:rFonts w:ascii="Times New Roman" w:hAnsi="Times New Roman"/>
          <w:b/>
          <w:color w:val="auto"/>
          <w:kern w:val="0"/>
          <w:sz w:val="24"/>
          <w:highlight w:val="none"/>
        </w:rPr>
        <w:t>附表11</w:t>
      </w:r>
    </w:p>
    <w:p>
      <w:pPr>
        <w:widowControl/>
        <w:shd w:val="clear" w:color="auto" w:fill="FFFFFF"/>
        <w:spacing w:line="360" w:lineRule="exact"/>
        <w:jc w:val="center"/>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现场监理部机构评审计分表</w:t>
      </w:r>
    </w:p>
    <w:tbl>
      <w:tblPr>
        <w:tblStyle w:val="18"/>
        <w:tblW w:w="9315" w:type="dxa"/>
        <w:tblInd w:w="115" w:type="dxa"/>
        <w:tblLayout w:type="fixed"/>
        <w:tblCellMar>
          <w:top w:w="0" w:type="dxa"/>
          <w:left w:w="108" w:type="dxa"/>
          <w:bottom w:w="0" w:type="dxa"/>
          <w:right w:w="108" w:type="dxa"/>
        </w:tblCellMar>
      </w:tblPr>
      <w:tblGrid>
        <w:gridCol w:w="585"/>
        <w:gridCol w:w="1035"/>
        <w:gridCol w:w="1290"/>
        <w:gridCol w:w="281"/>
        <w:gridCol w:w="4039"/>
        <w:gridCol w:w="810"/>
        <w:gridCol w:w="1275"/>
      </w:tblGrid>
      <w:tr>
        <w:tblPrEx>
          <w:tblLayout w:type="fixed"/>
          <w:tblCellMar>
            <w:top w:w="0" w:type="dxa"/>
            <w:left w:w="108" w:type="dxa"/>
            <w:bottom w:w="0" w:type="dxa"/>
            <w:right w:w="108" w:type="dxa"/>
          </w:tblCellMar>
        </w:tblPrEx>
        <w:trPr>
          <w:trHeight w:val="568" w:hRule="atLeast"/>
        </w:trPr>
        <w:tc>
          <w:tcPr>
            <w:tcW w:w="585" w:type="dxa"/>
            <w:tcBorders>
              <w:top w:val="single" w:color="auto" w:sz="12" w:space="0"/>
              <w:left w:val="single" w:color="auto" w:sz="12"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序号</w:t>
            </w:r>
          </w:p>
        </w:tc>
        <w:tc>
          <w:tcPr>
            <w:tcW w:w="1035" w:type="dxa"/>
            <w:tcBorders>
              <w:top w:val="single" w:color="auto" w:sz="12" w:space="0"/>
              <w:left w:val="single" w:color="auto" w:sz="6" w:space="0"/>
              <w:bottom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项目</w:t>
            </w:r>
          </w:p>
        </w:tc>
        <w:tc>
          <w:tcPr>
            <w:tcW w:w="6420" w:type="dxa"/>
            <w:gridSpan w:val="4"/>
            <w:tcBorders>
              <w:top w:val="single" w:color="auto" w:sz="12"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评审标准</w:t>
            </w:r>
          </w:p>
        </w:tc>
        <w:tc>
          <w:tcPr>
            <w:tcW w:w="1275" w:type="dxa"/>
            <w:tcBorders>
              <w:top w:val="single" w:color="auto" w:sz="12" w:space="0"/>
              <w:left w:val="single" w:color="auto" w:sz="6" w:space="0"/>
              <w:bottom w:val="single" w:color="auto" w:sz="6"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评审计分</w:t>
            </w:r>
          </w:p>
        </w:tc>
      </w:tr>
      <w:tr>
        <w:tblPrEx>
          <w:tblLayout w:type="fixed"/>
          <w:tblCellMar>
            <w:top w:w="0" w:type="dxa"/>
            <w:left w:w="108" w:type="dxa"/>
            <w:bottom w:w="0" w:type="dxa"/>
            <w:right w:w="108" w:type="dxa"/>
          </w:tblCellMar>
        </w:tblPrEx>
        <w:trPr>
          <w:trHeight w:val="568" w:hRule="atLeast"/>
        </w:trPr>
        <w:tc>
          <w:tcPr>
            <w:tcW w:w="585" w:type="dxa"/>
            <w:vMerge w:val="restart"/>
            <w:tcBorders>
              <w:top w:val="single" w:color="auto" w:sz="6" w:space="0"/>
              <w:left w:val="single" w:color="auto" w:sz="12"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1035" w:type="dxa"/>
            <w:vMerge w:val="restart"/>
            <w:tcBorders>
              <w:top w:val="single" w:color="auto" w:sz="6" w:space="0"/>
              <w:left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总监理工程师任职资格与业绩</w:t>
            </w:r>
          </w:p>
        </w:tc>
        <w:tc>
          <w:tcPr>
            <w:tcW w:w="5610" w:type="dxa"/>
            <w:gridSpan w:val="3"/>
            <w:tcBorders>
              <w:top w:val="single" w:color="auto" w:sz="6" w:space="0"/>
              <w:left w:val="single" w:color="auto" w:sz="6" w:space="0"/>
              <w:bottom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综合条件（专业、职称、执证、工作经历等）</w:t>
            </w:r>
          </w:p>
        </w:tc>
        <w:tc>
          <w:tcPr>
            <w:tcW w:w="810" w:type="dxa"/>
            <w:tcBorders>
              <w:top w:val="single" w:color="auto" w:sz="6"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21-25</w:t>
            </w:r>
          </w:p>
        </w:tc>
        <w:tc>
          <w:tcPr>
            <w:tcW w:w="1275" w:type="dxa"/>
            <w:tcBorders>
              <w:top w:val="single" w:color="auto" w:sz="6" w:space="0"/>
              <w:left w:val="single" w:color="auto" w:sz="6" w:space="0"/>
              <w:bottom w:val="single" w:color="auto" w:sz="6"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568" w:hRule="atLeast"/>
        </w:trPr>
        <w:tc>
          <w:tcPr>
            <w:tcW w:w="585" w:type="dxa"/>
            <w:vMerge w:val="continue"/>
            <w:tcBorders>
              <w:left w:val="single" w:color="auto" w:sz="12"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left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1290" w:type="dxa"/>
            <w:vMerge w:val="restart"/>
            <w:tcBorders>
              <w:top w:val="single" w:color="auto" w:sz="6" w:space="0"/>
              <w:left w:val="single" w:color="auto" w:sz="6" w:space="0"/>
              <w:bottom w:val="single" w:color="auto" w:sz="6"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类似工程监理经验</w:t>
            </w:r>
          </w:p>
        </w:tc>
        <w:tc>
          <w:tcPr>
            <w:tcW w:w="4320" w:type="dxa"/>
            <w:gridSpan w:val="2"/>
            <w:tcBorders>
              <w:top w:val="single" w:color="auto" w:sz="6" w:space="0"/>
              <w:left w:val="single" w:color="auto" w:sz="4" w:space="0"/>
              <w:bottom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有类似工程监理经验</w:t>
            </w:r>
          </w:p>
        </w:tc>
        <w:tc>
          <w:tcPr>
            <w:tcW w:w="810" w:type="dxa"/>
            <w:tcBorders>
              <w:top w:val="single" w:color="auto" w:sz="6"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14-15</w:t>
            </w:r>
          </w:p>
        </w:tc>
        <w:tc>
          <w:tcPr>
            <w:tcW w:w="1275" w:type="dxa"/>
            <w:tcBorders>
              <w:top w:val="single" w:color="auto" w:sz="6" w:space="0"/>
              <w:left w:val="single" w:color="auto" w:sz="6" w:space="0"/>
              <w:bottom w:val="single" w:color="auto" w:sz="6"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568" w:hRule="atLeast"/>
        </w:trPr>
        <w:tc>
          <w:tcPr>
            <w:tcW w:w="585" w:type="dxa"/>
            <w:vMerge w:val="continue"/>
            <w:tcBorders>
              <w:left w:val="single" w:color="auto" w:sz="12"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left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1290" w:type="dxa"/>
            <w:vMerge w:val="continue"/>
            <w:tcBorders>
              <w:top w:val="single" w:color="auto" w:sz="6" w:space="0"/>
              <w:left w:val="single" w:color="auto" w:sz="6" w:space="0"/>
              <w:bottom w:val="single" w:color="auto" w:sz="6"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4320" w:type="dxa"/>
            <w:gridSpan w:val="2"/>
            <w:tcBorders>
              <w:top w:val="single" w:color="auto" w:sz="6" w:space="0"/>
              <w:left w:val="single" w:color="auto" w:sz="4" w:space="0"/>
              <w:bottom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无类似工程监理经验</w:t>
            </w:r>
          </w:p>
        </w:tc>
        <w:tc>
          <w:tcPr>
            <w:tcW w:w="810" w:type="dxa"/>
            <w:tcBorders>
              <w:top w:val="single" w:color="auto" w:sz="6"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12</w:t>
            </w:r>
          </w:p>
        </w:tc>
        <w:tc>
          <w:tcPr>
            <w:tcW w:w="1275" w:type="dxa"/>
            <w:tcBorders>
              <w:top w:val="single" w:color="auto" w:sz="6" w:space="0"/>
              <w:left w:val="single" w:color="auto" w:sz="6" w:space="0"/>
              <w:bottom w:val="single" w:color="auto" w:sz="6"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55" w:hRule="atLeast"/>
        </w:trPr>
        <w:tc>
          <w:tcPr>
            <w:tcW w:w="585" w:type="dxa"/>
            <w:vMerge w:val="continue"/>
            <w:tcBorders>
              <w:left w:val="single" w:color="auto" w:sz="12"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left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1290" w:type="dxa"/>
            <w:vMerge w:val="restart"/>
            <w:tcBorders>
              <w:top w:val="single" w:color="auto" w:sz="6" w:space="0"/>
              <w:left w:val="single" w:color="auto" w:sz="6" w:space="0"/>
              <w:right w:val="single" w:color="auto" w:sz="2"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项目获奖或个人获奖</w:t>
            </w:r>
          </w:p>
        </w:tc>
        <w:tc>
          <w:tcPr>
            <w:tcW w:w="4320" w:type="dxa"/>
            <w:gridSpan w:val="2"/>
            <w:tcBorders>
              <w:top w:val="single" w:color="auto" w:sz="6" w:space="0"/>
              <w:left w:val="single" w:color="auto" w:sz="2" w:space="0"/>
              <w:bottom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每项鲁班奖</w:t>
            </w:r>
          </w:p>
        </w:tc>
        <w:tc>
          <w:tcPr>
            <w:tcW w:w="810" w:type="dxa"/>
            <w:tcBorders>
              <w:top w:val="single" w:color="auto" w:sz="6"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1275" w:type="dxa"/>
            <w:tcBorders>
              <w:top w:val="single" w:color="auto" w:sz="6" w:space="0"/>
              <w:left w:val="single" w:color="auto" w:sz="6" w:space="0"/>
              <w:bottom w:val="single" w:color="auto" w:sz="6"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55" w:hRule="atLeast"/>
        </w:trPr>
        <w:tc>
          <w:tcPr>
            <w:tcW w:w="585" w:type="dxa"/>
            <w:vMerge w:val="continue"/>
            <w:tcBorders>
              <w:left w:val="single" w:color="auto" w:sz="12"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left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1290" w:type="dxa"/>
            <w:vMerge w:val="continue"/>
            <w:tcBorders>
              <w:left w:val="single" w:color="auto" w:sz="6" w:space="0"/>
              <w:right w:val="single" w:color="auto" w:sz="2" w:space="0"/>
            </w:tcBorders>
            <w:vAlign w:val="center"/>
          </w:tcPr>
          <w:p>
            <w:pPr>
              <w:widowControl/>
              <w:spacing w:line="320" w:lineRule="exact"/>
              <w:jc w:val="left"/>
              <w:rPr>
                <w:rFonts w:ascii="Times New Roman" w:hAnsi="Times New Roman"/>
                <w:color w:val="auto"/>
                <w:kern w:val="0"/>
                <w:szCs w:val="21"/>
                <w:highlight w:val="none"/>
              </w:rPr>
            </w:pPr>
          </w:p>
        </w:tc>
        <w:tc>
          <w:tcPr>
            <w:tcW w:w="4320" w:type="dxa"/>
            <w:gridSpan w:val="2"/>
            <w:tcBorders>
              <w:top w:val="single" w:color="auto" w:sz="6" w:space="0"/>
              <w:left w:val="single" w:color="auto" w:sz="2" w:space="0"/>
              <w:bottom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bCs/>
                <w:color w:val="auto"/>
                <w:szCs w:val="21"/>
                <w:highlight w:val="none"/>
              </w:rPr>
              <w:t>每项在全国范围组织学习交流的建设工程项目施工安全生产标准化工地</w:t>
            </w:r>
            <w:r>
              <w:rPr>
                <w:rFonts w:ascii="Times New Roman" w:hAnsi="Times New Roman"/>
                <w:color w:val="auto"/>
                <w:kern w:val="0"/>
                <w:szCs w:val="21"/>
                <w:highlight w:val="none"/>
              </w:rPr>
              <w:t>或全国建筑工程装饰奖或芙蓉奖工程</w:t>
            </w:r>
          </w:p>
        </w:tc>
        <w:tc>
          <w:tcPr>
            <w:tcW w:w="810" w:type="dxa"/>
            <w:tcBorders>
              <w:top w:val="single" w:color="auto" w:sz="6"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1275" w:type="dxa"/>
            <w:tcBorders>
              <w:top w:val="single" w:color="auto" w:sz="6" w:space="0"/>
              <w:left w:val="single" w:color="auto" w:sz="6" w:space="0"/>
              <w:bottom w:val="single" w:color="auto" w:sz="6"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55" w:hRule="atLeast"/>
        </w:trPr>
        <w:tc>
          <w:tcPr>
            <w:tcW w:w="585" w:type="dxa"/>
            <w:vMerge w:val="continue"/>
            <w:tcBorders>
              <w:left w:val="single" w:color="auto" w:sz="12"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left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1290" w:type="dxa"/>
            <w:vMerge w:val="continue"/>
            <w:tcBorders>
              <w:left w:val="single" w:color="auto" w:sz="6" w:space="0"/>
              <w:right w:val="single" w:color="auto" w:sz="2" w:space="0"/>
            </w:tcBorders>
            <w:vAlign w:val="center"/>
          </w:tcPr>
          <w:p>
            <w:pPr>
              <w:widowControl/>
              <w:spacing w:line="320" w:lineRule="exact"/>
              <w:jc w:val="left"/>
              <w:rPr>
                <w:rFonts w:ascii="Times New Roman" w:hAnsi="Times New Roman"/>
                <w:color w:val="auto"/>
                <w:kern w:val="0"/>
                <w:szCs w:val="21"/>
                <w:highlight w:val="none"/>
              </w:rPr>
            </w:pPr>
          </w:p>
        </w:tc>
        <w:tc>
          <w:tcPr>
            <w:tcW w:w="4320" w:type="dxa"/>
            <w:gridSpan w:val="2"/>
            <w:tcBorders>
              <w:top w:val="single" w:color="auto" w:sz="6" w:space="0"/>
              <w:left w:val="single" w:color="auto" w:sz="2" w:space="0"/>
              <w:bottom w:val="single" w:color="auto" w:sz="4"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每项省优质工程</w:t>
            </w:r>
          </w:p>
        </w:tc>
        <w:tc>
          <w:tcPr>
            <w:tcW w:w="810" w:type="dxa"/>
            <w:tcBorders>
              <w:top w:val="single" w:color="auto" w:sz="6"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1275" w:type="dxa"/>
            <w:tcBorders>
              <w:top w:val="single" w:color="auto" w:sz="6" w:space="0"/>
              <w:left w:val="single" w:color="auto" w:sz="6" w:space="0"/>
              <w:bottom w:val="single" w:color="auto" w:sz="6"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55" w:hRule="atLeast"/>
        </w:trPr>
        <w:tc>
          <w:tcPr>
            <w:tcW w:w="585" w:type="dxa"/>
            <w:vMerge w:val="continue"/>
            <w:tcBorders>
              <w:left w:val="single" w:color="auto" w:sz="12"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left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1290" w:type="dxa"/>
            <w:vMerge w:val="continue"/>
            <w:tcBorders>
              <w:left w:val="single" w:color="auto" w:sz="6" w:space="0"/>
              <w:bottom w:val="single" w:color="auto" w:sz="4" w:space="0"/>
              <w:right w:val="single" w:color="auto" w:sz="2" w:space="0"/>
            </w:tcBorders>
            <w:vAlign w:val="center"/>
          </w:tcPr>
          <w:p>
            <w:pPr>
              <w:widowControl/>
              <w:spacing w:line="320" w:lineRule="exact"/>
              <w:jc w:val="left"/>
              <w:rPr>
                <w:rFonts w:ascii="Times New Roman" w:hAnsi="Times New Roman"/>
                <w:color w:val="auto"/>
                <w:kern w:val="0"/>
                <w:szCs w:val="21"/>
                <w:highlight w:val="none"/>
              </w:rPr>
            </w:pPr>
          </w:p>
        </w:tc>
        <w:tc>
          <w:tcPr>
            <w:tcW w:w="4320" w:type="dxa"/>
            <w:gridSpan w:val="2"/>
            <w:tcBorders>
              <w:top w:val="single" w:color="auto" w:sz="6" w:space="0"/>
              <w:left w:val="single" w:color="auto" w:sz="2" w:space="0"/>
              <w:bottom w:val="single" w:color="auto" w:sz="4"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每项省建筑施工安全生产标准化年度项目考评优良工地</w:t>
            </w:r>
          </w:p>
        </w:tc>
        <w:tc>
          <w:tcPr>
            <w:tcW w:w="810" w:type="dxa"/>
            <w:tcBorders>
              <w:top w:val="single" w:color="auto" w:sz="6"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0.3</w:t>
            </w:r>
          </w:p>
        </w:tc>
        <w:tc>
          <w:tcPr>
            <w:tcW w:w="1275" w:type="dxa"/>
            <w:tcBorders>
              <w:top w:val="single" w:color="auto" w:sz="6" w:space="0"/>
              <w:left w:val="single" w:color="auto" w:sz="6" w:space="0"/>
              <w:bottom w:val="single" w:color="auto" w:sz="6"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568" w:hRule="atLeast"/>
        </w:trPr>
        <w:tc>
          <w:tcPr>
            <w:tcW w:w="585" w:type="dxa"/>
            <w:vMerge w:val="continue"/>
            <w:tcBorders>
              <w:left w:val="single" w:color="auto" w:sz="12"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left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1290" w:type="dxa"/>
            <w:vMerge w:val="restart"/>
            <w:tcBorders>
              <w:top w:val="single" w:color="auto" w:sz="4" w:space="0"/>
              <w:left w:val="single" w:color="auto" w:sz="4" w:space="0"/>
              <w:right w:val="single" w:color="auto" w:sz="2"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不良行</w:t>
            </w:r>
          </w:p>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为记录</w:t>
            </w:r>
          </w:p>
        </w:tc>
        <w:tc>
          <w:tcPr>
            <w:tcW w:w="4320" w:type="dxa"/>
            <w:gridSpan w:val="2"/>
            <w:tcBorders>
              <w:top w:val="single" w:color="auto" w:sz="4" w:space="0"/>
              <w:left w:val="single" w:color="auto" w:sz="2" w:space="0"/>
              <w:bottom w:val="single" w:color="auto" w:sz="6"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“严重不良行为记录” 每条</w:t>
            </w:r>
          </w:p>
        </w:tc>
        <w:tc>
          <w:tcPr>
            <w:tcW w:w="810" w:type="dxa"/>
            <w:tcBorders>
              <w:top w:val="single" w:color="auto" w:sz="6" w:space="0"/>
              <w:left w:val="single" w:color="auto" w:sz="4"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-6</w:t>
            </w:r>
          </w:p>
        </w:tc>
        <w:tc>
          <w:tcPr>
            <w:tcW w:w="1275" w:type="dxa"/>
            <w:tcBorders>
              <w:top w:val="single" w:color="auto" w:sz="6" w:space="0"/>
              <w:left w:val="single" w:color="auto" w:sz="6" w:space="0"/>
              <w:bottom w:val="single" w:color="auto" w:sz="6"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568" w:hRule="atLeast"/>
        </w:trPr>
        <w:tc>
          <w:tcPr>
            <w:tcW w:w="585" w:type="dxa"/>
            <w:vMerge w:val="continue"/>
            <w:tcBorders>
              <w:left w:val="single" w:color="auto" w:sz="12"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left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1290" w:type="dxa"/>
            <w:vMerge w:val="continue"/>
            <w:tcBorders>
              <w:left w:val="single" w:color="auto" w:sz="4" w:space="0"/>
              <w:right w:val="single" w:color="auto" w:sz="2" w:space="0"/>
            </w:tcBorders>
            <w:vAlign w:val="center"/>
          </w:tcPr>
          <w:p>
            <w:pPr>
              <w:widowControl/>
              <w:spacing w:line="320" w:lineRule="exact"/>
              <w:jc w:val="left"/>
              <w:rPr>
                <w:rFonts w:ascii="Times New Roman" w:hAnsi="Times New Roman"/>
                <w:color w:val="auto"/>
                <w:kern w:val="0"/>
                <w:szCs w:val="21"/>
                <w:highlight w:val="none"/>
              </w:rPr>
            </w:pPr>
          </w:p>
        </w:tc>
        <w:tc>
          <w:tcPr>
            <w:tcW w:w="4320" w:type="dxa"/>
            <w:gridSpan w:val="2"/>
            <w:tcBorders>
              <w:top w:val="single" w:color="auto" w:sz="6" w:space="0"/>
              <w:left w:val="single" w:color="auto" w:sz="2"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“一般不良行为记录” 每条</w:t>
            </w:r>
          </w:p>
        </w:tc>
        <w:tc>
          <w:tcPr>
            <w:tcW w:w="810" w:type="dxa"/>
            <w:tcBorders>
              <w:top w:val="single" w:color="auto" w:sz="6" w:space="0"/>
              <w:left w:val="single" w:color="auto" w:sz="4" w:space="0"/>
              <w:bottom w:val="single" w:color="auto" w:sz="2"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1275" w:type="dxa"/>
            <w:tcBorders>
              <w:top w:val="single" w:color="auto" w:sz="6" w:space="0"/>
              <w:left w:val="single" w:color="auto" w:sz="6" w:space="0"/>
              <w:bottom w:val="single" w:color="auto" w:sz="2"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568" w:hRule="atLeast"/>
        </w:trPr>
        <w:tc>
          <w:tcPr>
            <w:tcW w:w="585" w:type="dxa"/>
            <w:vMerge w:val="continue"/>
            <w:tcBorders>
              <w:left w:val="single" w:color="auto" w:sz="12" w:space="0"/>
              <w:bottom w:val="nil"/>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left w:val="single" w:color="auto" w:sz="6" w:space="0"/>
              <w:bottom w:val="single" w:color="auto" w:sz="2"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1290" w:type="dxa"/>
            <w:vMerge w:val="continue"/>
            <w:tcBorders>
              <w:left w:val="single" w:color="auto" w:sz="4" w:space="0"/>
              <w:bottom w:val="single" w:color="auto" w:sz="4" w:space="0"/>
              <w:right w:val="single" w:color="auto" w:sz="2" w:space="0"/>
            </w:tcBorders>
            <w:vAlign w:val="center"/>
          </w:tcPr>
          <w:p>
            <w:pPr>
              <w:widowControl/>
              <w:spacing w:line="320" w:lineRule="exact"/>
              <w:jc w:val="left"/>
              <w:rPr>
                <w:rFonts w:ascii="Times New Roman" w:hAnsi="Times New Roman"/>
                <w:color w:val="auto"/>
                <w:kern w:val="0"/>
                <w:szCs w:val="21"/>
                <w:highlight w:val="none"/>
              </w:rPr>
            </w:pPr>
          </w:p>
        </w:tc>
        <w:tc>
          <w:tcPr>
            <w:tcW w:w="4320" w:type="dxa"/>
            <w:gridSpan w:val="2"/>
            <w:tcBorders>
              <w:top w:val="single" w:color="auto" w:sz="6" w:space="0"/>
              <w:left w:val="single" w:color="auto" w:sz="2"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每项省建筑施工安全生产标准化季度项目考评不合格项目</w:t>
            </w:r>
          </w:p>
        </w:tc>
        <w:tc>
          <w:tcPr>
            <w:tcW w:w="810" w:type="dxa"/>
            <w:tcBorders>
              <w:top w:val="single" w:color="auto" w:sz="6" w:space="0"/>
              <w:left w:val="single" w:color="auto" w:sz="4" w:space="0"/>
              <w:bottom w:val="single" w:color="auto" w:sz="2" w:space="0"/>
              <w:right w:val="single" w:color="auto" w:sz="6" w:space="0"/>
            </w:tcBorders>
            <w:vAlign w:val="center"/>
          </w:tcPr>
          <w:p>
            <w:pPr>
              <w:widowControl/>
              <w:tabs>
                <w:tab w:val="left" w:pos="0"/>
                <w:tab w:val="left" w:pos="540"/>
                <w:tab w:val="left" w:pos="630"/>
                <w:tab w:val="left" w:pos="1440"/>
              </w:tabs>
              <w:spacing w:line="320" w:lineRule="exact"/>
              <w:jc w:val="center"/>
              <w:rPr>
                <w:rFonts w:ascii="Times New Roman" w:hAnsi="Times New Roman"/>
                <w:color w:val="auto"/>
                <w:highlight w:val="none"/>
              </w:rPr>
            </w:pPr>
            <w:r>
              <w:rPr>
                <w:rFonts w:ascii="Times New Roman" w:hAnsi="Times New Roman"/>
                <w:color w:val="auto"/>
                <w:highlight w:val="none"/>
              </w:rPr>
              <w:t>-0.3</w:t>
            </w:r>
          </w:p>
        </w:tc>
        <w:tc>
          <w:tcPr>
            <w:tcW w:w="1275" w:type="dxa"/>
            <w:tcBorders>
              <w:top w:val="single" w:color="auto" w:sz="6" w:space="0"/>
              <w:left w:val="single" w:color="auto" w:sz="6" w:space="0"/>
              <w:bottom w:val="single" w:color="auto" w:sz="2"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568" w:hRule="atLeast"/>
        </w:trPr>
        <w:tc>
          <w:tcPr>
            <w:tcW w:w="585" w:type="dxa"/>
            <w:vMerge w:val="restart"/>
            <w:tcBorders>
              <w:top w:val="single" w:color="auto" w:sz="6" w:space="0"/>
              <w:left w:val="single" w:color="auto" w:sz="12" w:space="0"/>
              <w:bottom w:val="nil"/>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1035" w:type="dxa"/>
            <w:vMerge w:val="restart"/>
            <w:tcBorders>
              <w:top w:val="single" w:color="auto" w:sz="2" w:space="0"/>
              <w:left w:val="single" w:color="auto" w:sz="6" w:space="0"/>
              <w:bottom w:val="nil"/>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专业监理工程师任职资格与业绩</w:t>
            </w:r>
          </w:p>
        </w:tc>
        <w:tc>
          <w:tcPr>
            <w:tcW w:w="5610" w:type="dxa"/>
            <w:gridSpan w:val="3"/>
            <w:tcBorders>
              <w:top w:val="single" w:color="auto" w:sz="4" w:space="0"/>
              <w:left w:val="single" w:color="auto" w:sz="6" w:space="0"/>
              <w:bottom w:val="single" w:color="auto" w:sz="2"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综合条件（数量、专业、职称、执证、工作经历、获奖情况等）</w:t>
            </w:r>
          </w:p>
        </w:tc>
        <w:tc>
          <w:tcPr>
            <w:tcW w:w="810" w:type="dxa"/>
            <w:tcBorders>
              <w:top w:val="single" w:color="auto" w:sz="2"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22-25</w:t>
            </w:r>
          </w:p>
        </w:tc>
        <w:tc>
          <w:tcPr>
            <w:tcW w:w="1275" w:type="dxa"/>
            <w:tcBorders>
              <w:top w:val="single" w:color="auto" w:sz="2" w:space="0"/>
              <w:left w:val="single" w:color="auto" w:sz="6" w:space="0"/>
              <w:bottom w:val="single" w:color="auto" w:sz="4"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568" w:hRule="atLeast"/>
        </w:trPr>
        <w:tc>
          <w:tcPr>
            <w:tcW w:w="585" w:type="dxa"/>
            <w:vMerge w:val="continue"/>
            <w:tcBorders>
              <w:top w:val="single" w:color="auto" w:sz="6" w:space="0"/>
              <w:left w:val="single" w:color="auto" w:sz="12" w:space="0"/>
              <w:bottom w:val="nil"/>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top w:val="single" w:color="auto" w:sz="2" w:space="0"/>
              <w:left w:val="single" w:color="auto" w:sz="6" w:space="0"/>
              <w:bottom w:val="nil"/>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5610" w:type="dxa"/>
            <w:gridSpan w:val="3"/>
            <w:tcBorders>
              <w:top w:val="single" w:color="auto" w:sz="6" w:space="0"/>
              <w:left w:val="single" w:color="auto" w:sz="6" w:space="0"/>
              <w:bottom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类似工程监理经验</w:t>
            </w:r>
          </w:p>
        </w:tc>
        <w:tc>
          <w:tcPr>
            <w:tcW w:w="810" w:type="dxa"/>
            <w:tcBorders>
              <w:top w:val="single" w:color="auto" w:sz="6"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12-15</w:t>
            </w:r>
          </w:p>
        </w:tc>
        <w:tc>
          <w:tcPr>
            <w:tcW w:w="1275" w:type="dxa"/>
            <w:tcBorders>
              <w:top w:val="single" w:color="auto" w:sz="4" w:space="0"/>
              <w:left w:val="single" w:color="auto" w:sz="6" w:space="0"/>
              <w:bottom w:val="single" w:color="auto" w:sz="4"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568" w:hRule="atLeast"/>
        </w:trPr>
        <w:tc>
          <w:tcPr>
            <w:tcW w:w="585" w:type="dxa"/>
            <w:vMerge w:val="continue"/>
            <w:tcBorders>
              <w:top w:val="single" w:color="auto" w:sz="6" w:space="0"/>
              <w:left w:val="single" w:color="auto" w:sz="12" w:space="0"/>
              <w:bottom w:val="nil"/>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top w:val="single" w:color="auto" w:sz="2" w:space="0"/>
              <w:left w:val="single" w:color="auto" w:sz="6" w:space="0"/>
              <w:bottom w:val="nil"/>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1571" w:type="dxa"/>
            <w:gridSpan w:val="2"/>
            <w:vMerge w:val="restart"/>
            <w:tcBorders>
              <w:top w:val="single" w:color="auto" w:sz="6" w:space="0"/>
              <w:left w:val="single" w:color="auto" w:sz="6" w:space="0"/>
              <w:bottom w:val="single" w:color="auto" w:sz="6" w:space="0"/>
              <w:right w:val="single" w:color="auto" w:sz="2"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不良行为记录</w:t>
            </w:r>
          </w:p>
        </w:tc>
        <w:tc>
          <w:tcPr>
            <w:tcW w:w="4039" w:type="dxa"/>
            <w:tcBorders>
              <w:top w:val="single" w:color="auto" w:sz="6" w:space="0"/>
              <w:left w:val="single" w:color="auto" w:sz="2" w:space="0"/>
              <w:bottom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 xml:space="preserve">每条“严重不良行为记录” </w:t>
            </w:r>
          </w:p>
        </w:tc>
        <w:tc>
          <w:tcPr>
            <w:tcW w:w="810" w:type="dxa"/>
            <w:tcBorders>
              <w:top w:val="single" w:color="auto" w:sz="6"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-6</w:t>
            </w:r>
          </w:p>
        </w:tc>
        <w:tc>
          <w:tcPr>
            <w:tcW w:w="1275" w:type="dxa"/>
            <w:tcBorders>
              <w:top w:val="single" w:color="auto" w:sz="4" w:space="0"/>
              <w:left w:val="single" w:color="auto" w:sz="6" w:space="0"/>
              <w:bottom w:val="single" w:color="auto" w:sz="6"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568" w:hRule="atLeast"/>
        </w:trPr>
        <w:tc>
          <w:tcPr>
            <w:tcW w:w="585" w:type="dxa"/>
            <w:vMerge w:val="continue"/>
            <w:tcBorders>
              <w:top w:val="single" w:color="auto" w:sz="6" w:space="0"/>
              <w:left w:val="single" w:color="auto" w:sz="12" w:space="0"/>
              <w:bottom w:val="nil"/>
              <w:right w:val="single" w:color="auto" w:sz="6" w:space="0"/>
            </w:tcBorders>
            <w:vAlign w:val="center"/>
          </w:tcPr>
          <w:p>
            <w:pPr>
              <w:widowControl/>
              <w:spacing w:line="320" w:lineRule="exact"/>
              <w:jc w:val="center"/>
              <w:rPr>
                <w:rFonts w:ascii="Times New Roman" w:hAnsi="Times New Roman"/>
                <w:color w:val="auto"/>
                <w:kern w:val="0"/>
                <w:szCs w:val="21"/>
                <w:highlight w:val="none"/>
              </w:rPr>
            </w:pPr>
          </w:p>
        </w:tc>
        <w:tc>
          <w:tcPr>
            <w:tcW w:w="1035" w:type="dxa"/>
            <w:vMerge w:val="continue"/>
            <w:tcBorders>
              <w:top w:val="single" w:color="auto" w:sz="2" w:space="0"/>
              <w:left w:val="single" w:color="auto" w:sz="6" w:space="0"/>
              <w:bottom w:val="nil"/>
              <w:right w:val="single" w:color="auto" w:sz="6" w:space="0"/>
            </w:tcBorders>
            <w:vAlign w:val="center"/>
          </w:tcPr>
          <w:p>
            <w:pPr>
              <w:widowControl/>
              <w:spacing w:line="320" w:lineRule="exact"/>
              <w:jc w:val="left"/>
              <w:rPr>
                <w:rFonts w:ascii="Times New Roman" w:hAnsi="Times New Roman"/>
                <w:color w:val="auto"/>
                <w:kern w:val="0"/>
                <w:szCs w:val="21"/>
                <w:highlight w:val="none"/>
              </w:rPr>
            </w:pPr>
          </w:p>
        </w:tc>
        <w:tc>
          <w:tcPr>
            <w:tcW w:w="1571" w:type="dxa"/>
            <w:gridSpan w:val="2"/>
            <w:vMerge w:val="continue"/>
            <w:tcBorders>
              <w:top w:val="single" w:color="auto" w:sz="6" w:space="0"/>
              <w:left w:val="single" w:color="auto" w:sz="6" w:space="0"/>
              <w:bottom w:val="single" w:color="auto" w:sz="6" w:space="0"/>
              <w:right w:val="single" w:color="auto" w:sz="2" w:space="0"/>
            </w:tcBorders>
            <w:vAlign w:val="center"/>
          </w:tcPr>
          <w:p>
            <w:pPr>
              <w:widowControl/>
              <w:spacing w:line="320" w:lineRule="exact"/>
              <w:jc w:val="left"/>
              <w:rPr>
                <w:rFonts w:ascii="Times New Roman" w:hAnsi="Times New Roman"/>
                <w:color w:val="auto"/>
                <w:kern w:val="0"/>
                <w:szCs w:val="21"/>
                <w:highlight w:val="none"/>
              </w:rPr>
            </w:pPr>
          </w:p>
        </w:tc>
        <w:tc>
          <w:tcPr>
            <w:tcW w:w="4039" w:type="dxa"/>
            <w:tcBorders>
              <w:top w:val="single" w:color="auto" w:sz="6" w:space="0"/>
              <w:left w:val="single" w:color="auto" w:sz="2" w:space="0"/>
              <w:bottom w:val="single" w:color="auto" w:sz="6"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 xml:space="preserve">每条“一般不良行为记录” </w:t>
            </w:r>
          </w:p>
        </w:tc>
        <w:tc>
          <w:tcPr>
            <w:tcW w:w="810" w:type="dxa"/>
            <w:tcBorders>
              <w:top w:val="single" w:color="auto" w:sz="6"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1275" w:type="dxa"/>
            <w:tcBorders>
              <w:top w:val="nil"/>
              <w:left w:val="single" w:color="auto" w:sz="6" w:space="0"/>
              <w:bottom w:val="single" w:color="auto" w:sz="6"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568" w:hRule="atLeast"/>
        </w:trPr>
        <w:tc>
          <w:tcPr>
            <w:tcW w:w="585" w:type="dxa"/>
            <w:tcBorders>
              <w:top w:val="single" w:color="auto" w:sz="6" w:space="0"/>
              <w:left w:val="single" w:color="auto" w:sz="12" w:space="0"/>
              <w:bottom w:val="nil"/>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1035" w:type="dxa"/>
            <w:tcBorders>
              <w:top w:val="single" w:color="auto" w:sz="6" w:space="0"/>
              <w:left w:val="single" w:color="auto" w:sz="6" w:space="0"/>
              <w:bottom w:val="nil"/>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监理员</w:t>
            </w:r>
          </w:p>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任职资格</w:t>
            </w:r>
          </w:p>
        </w:tc>
        <w:tc>
          <w:tcPr>
            <w:tcW w:w="5610" w:type="dxa"/>
            <w:gridSpan w:val="3"/>
            <w:tcBorders>
              <w:top w:val="single" w:color="auto" w:sz="6" w:space="0"/>
              <w:left w:val="single" w:color="auto" w:sz="6" w:space="0"/>
              <w:bottom w:val="single" w:color="auto" w:sz="2"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综合条件（数量）</w:t>
            </w:r>
          </w:p>
        </w:tc>
        <w:tc>
          <w:tcPr>
            <w:tcW w:w="810" w:type="dxa"/>
            <w:tcBorders>
              <w:top w:val="single" w:color="auto" w:sz="6" w:space="0"/>
              <w:left w:val="single" w:color="auto" w:sz="6" w:space="0"/>
              <w:bottom w:val="single" w:color="auto" w:sz="6"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18-20</w:t>
            </w:r>
          </w:p>
        </w:tc>
        <w:tc>
          <w:tcPr>
            <w:tcW w:w="1275" w:type="dxa"/>
            <w:tcBorders>
              <w:top w:val="single" w:color="auto" w:sz="6" w:space="0"/>
              <w:left w:val="single" w:color="auto" w:sz="6" w:space="0"/>
              <w:bottom w:val="nil"/>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568" w:hRule="atLeast"/>
        </w:trPr>
        <w:tc>
          <w:tcPr>
            <w:tcW w:w="585" w:type="dxa"/>
            <w:tcBorders>
              <w:top w:val="single" w:color="auto" w:sz="4" w:space="0"/>
              <w:left w:val="single" w:color="auto" w:sz="12" w:space="0"/>
              <w:bottom w:val="single" w:color="auto" w:sz="12" w:space="0"/>
              <w:right w:val="single" w:color="auto" w:sz="6"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7455" w:type="dxa"/>
            <w:gridSpan w:val="5"/>
            <w:tcBorders>
              <w:top w:val="single" w:color="auto" w:sz="4" w:space="0"/>
              <w:left w:val="single" w:color="auto" w:sz="6" w:space="0"/>
              <w:bottom w:val="single" w:color="auto" w:sz="12" w:space="0"/>
              <w:right w:val="single" w:color="auto" w:sz="6"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合  计</w:t>
            </w:r>
          </w:p>
        </w:tc>
        <w:tc>
          <w:tcPr>
            <w:tcW w:w="1275" w:type="dxa"/>
            <w:tcBorders>
              <w:top w:val="single" w:color="auto" w:sz="4" w:space="0"/>
              <w:left w:val="single" w:color="auto" w:sz="6" w:space="0"/>
              <w:bottom w:val="single" w:color="auto" w:sz="12"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bl>
    <w:p>
      <w:pPr>
        <w:keepNext w:val="0"/>
        <w:keepLines w:val="0"/>
        <w:pageBreakBefore w:val="0"/>
        <w:widowControl/>
        <w:shd w:val="clear" w:color="auto" w:fill="FFFFFF"/>
        <w:kinsoku/>
        <w:wordWrap/>
        <w:overflowPunct/>
        <w:topLinePunct w:val="0"/>
        <w:autoSpaceDE/>
        <w:autoSpaceDN/>
        <w:bidi w:val="0"/>
        <w:adjustRightInd/>
        <w:snapToGrid/>
        <w:spacing w:line="260" w:lineRule="exact"/>
        <w:ind w:right="0" w:rightChars="0" w:firstLine="420" w:firstLineChars="200"/>
        <w:jc w:val="left"/>
        <w:textAlignment w:val="auto"/>
        <w:outlineLvl w:val="9"/>
        <w:rPr>
          <w:rFonts w:ascii="Times New Roman" w:hAnsi="Times New Roman"/>
          <w:color w:val="auto"/>
          <w:kern w:val="0"/>
          <w:szCs w:val="21"/>
          <w:highlight w:val="none"/>
        </w:rPr>
      </w:pPr>
      <w:r>
        <w:rPr>
          <w:rFonts w:ascii="Times New Roman" w:hAnsi="Times New Roman"/>
          <w:color w:val="auto"/>
          <w:kern w:val="0"/>
          <w:szCs w:val="21"/>
          <w:highlight w:val="none"/>
        </w:rPr>
        <w:t xml:space="preserve">   备注：</w:t>
      </w:r>
    </w:p>
    <w:p>
      <w:pPr>
        <w:keepNext w:val="0"/>
        <w:keepLines w:val="0"/>
        <w:pageBreakBefore w:val="0"/>
        <w:widowControl/>
        <w:shd w:val="clear" w:color="auto" w:fill="FFFFFF"/>
        <w:kinsoku/>
        <w:wordWrap/>
        <w:overflowPunct/>
        <w:topLinePunct w:val="0"/>
        <w:autoSpaceDE/>
        <w:autoSpaceDN/>
        <w:bidi w:val="0"/>
        <w:adjustRightInd/>
        <w:snapToGrid/>
        <w:spacing w:line="260" w:lineRule="exact"/>
        <w:ind w:right="0" w:rightChars="0" w:firstLine="420" w:firstLineChars="200"/>
        <w:jc w:val="left"/>
        <w:textAlignment w:val="auto"/>
        <w:outlineLvl w:val="9"/>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附表12的相关备注适用本表</w:t>
      </w:r>
      <w:r>
        <w:rPr>
          <w:rFonts w:hint="eastAsia" w:ascii="宋体" w:hAnsi="宋体" w:cs="宋体"/>
          <w:color w:val="auto"/>
          <w:kern w:val="0"/>
          <w:szCs w:val="21"/>
          <w:highlight w:val="none"/>
          <w:lang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60" w:lineRule="exact"/>
        <w:ind w:right="0" w:rightChars="0" w:firstLine="420" w:firstLineChars="200"/>
        <w:jc w:val="left"/>
        <w:textAlignment w:val="auto"/>
        <w:outlineLvl w:val="9"/>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投标文件中明确现场监理部总监理工程师（总监代表）、专业监理工程师的配备情况，以及承诺其他监理员的数量和任职资格。总监理工程师（总监代表）、专业监理工程师应持有相应岗位资格证书，岗位资格证书注明了单位名称的，应与本人执业单位一致。</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60" w:lineRule="exact"/>
        <w:ind w:right="0" w:rightChars="0" w:firstLine="420" w:firstLineChars="200"/>
        <w:jc w:val="left"/>
        <w:textAlignment w:val="auto"/>
        <w:outlineLvl w:val="9"/>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3、监理员任职资格综合条件统一计20分。</w:t>
      </w:r>
    </w:p>
    <w:p>
      <w:pPr>
        <w:pStyle w:val="2"/>
        <w:keepNext w:val="0"/>
        <w:keepLines w:val="0"/>
        <w:pageBreakBefore w:val="0"/>
        <w:widowControl w:val="0"/>
        <w:numPr>
          <w:ilvl w:val="0"/>
          <w:numId w:val="0"/>
        </w:numPr>
        <w:tabs>
          <w:tab w:val="left" w:pos="0"/>
          <w:tab w:val="left" w:pos="540"/>
          <w:tab w:val="left" w:pos="1440"/>
        </w:tabs>
        <w:kinsoku/>
        <w:wordWrap/>
        <w:overflowPunct/>
        <w:topLinePunct w:val="0"/>
        <w:autoSpaceDE/>
        <w:autoSpaceDN/>
        <w:bidi w:val="0"/>
        <w:adjustRightInd/>
        <w:snapToGrid/>
        <w:spacing w:line="260" w:lineRule="exact"/>
        <w:ind w:firstLine="420" w:firstLineChars="200"/>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总监的类似工程监理经验：担任总监或总监代表，所监项目监理建安工程造价在45000万元及以上或者单项合同监理费为520万元及以上的市政桥梁监理项目监理项目业绩。</w:t>
      </w:r>
    </w:p>
    <w:p>
      <w:pPr>
        <w:pStyle w:val="2"/>
        <w:keepNext w:val="0"/>
        <w:keepLines w:val="0"/>
        <w:pageBreakBefore w:val="0"/>
        <w:widowControl w:val="0"/>
        <w:numPr>
          <w:ilvl w:val="0"/>
          <w:numId w:val="0"/>
        </w:numPr>
        <w:tabs>
          <w:tab w:val="left" w:pos="0"/>
          <w:tab w:val="left" w:pos="540"/>
          <w:tab w:val="left" w:pos="1440"/>
        </w:tabs>
        <w:kinsoku/>
        <w:wordWrap/>
        <w:overflowPunct/>
        <w:topLinePunct w:val="0"/>
        <w:autoSpaceDE/>
        <w:autoSpaceDN/>
        <w:bidi w:val="0"/>
        <w:adjustRightInd/>
        <w:snapToGrid/>
        <w:spacing w:line="260" w:lineRule="exact"/>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评标委员签字/日期：</w:t>
      </w:r>
    </w:p>
    <w:p>
      <w:pPr>
        <w:widowControl/>
        <w:shd w:val="clear" w:color="auto" w:fill="FFFFFF"/>
        <w:spacing w:line="320" w:lineRule="exact"/>
        <w:jc w:val="left"/>
        <w:rPr>
          <w:rFonts w:ascii="Times New Roman" w:hAnsi="Times New Roman"/>
          <w:b/>
          <w:color w:val="auto"/>
          <w:kern w:val="0"/>
          <w:sz w:val="24"/>
          <w:highlight w:val="none"/>
        </w:rPr>
      </w:pPr>
      <w:r>
        <w:rPr>
          <w:rFonts w:ascii="Times New Roman" w:hAnsi="Times New Roman"/>
          <w:color w:val="auto"/>
          <w:sz w:val="20"/>
          <w:szCs w:val="22"/>
          <w:highlight w:val="none"/>
        </w:rPr>
        <w:br w:type="page"/>
      </w:r>
      <w:r>
        <w:rPr>
          <w:rFonts w:ascii="Times New Roman" w:hAnsi="Times New Roman"/>
          <w:b/>
          <w:color w:val="auto"/>
          <w:kern w:val="0"/>
          <w:sz w:val="24"/>
          <w:highlight w:val="none"/>
        </w:rPr>
        <w:t>附表12</w:t>
      </w:r>
    </w:p>
    <w:p>
      <w:pPr>
        <w:widowControl/>
        <w:shd w:val="clear" w:color="auto" w:fill="FFFFFF"/>
        <w:spacing w:line="320" w:lineRule="exact"/>
        <w:jc w:val="center"/>
        <w:rPr>
          <w:rFonts w:ascii="Times New Roman" w:hAnsi="Times New Roman"/>
          <w:color w:val="auto"/>
          <w:kern w:val="0"/>
          <w:sz w:val="24"/>
          <w:highlight w:val="none"/>
        </w:rPr>
      </w:pPr>
      <w:r>
        <w:rPr>
          <w:rFonts w:ascii="Times New Roman" w:hAnsi="Times New Roman"/>
          <w:b/>
          <w:color w:val="auto"/>
          <w:kern w:val="0"/>
          <w:sz w:val="28"/>
          <w:szCs w:val="28"/>
          <w:highlight w:val="none"/>
        </w:rPr>
        <w:t>信誉评审计分表</w:t>
      </w:r>
      <w:r>
        <w:rPr>
          <w:rFonts w:ascii="Times New Roman" w:hAnsi="Times New Roman"/>
          <w:color w:val="auto"/>
          <w:kern w:val="0"/>
          <w:sz w:val="28"/>
          <w:szCs w:val="28"/>
          <w:highlight w:val="none"/>
        </w:rPr>
        <w:t xml:space="preserve">  </w:t>
      </w:r>
      <w:r>
        <w:rPr>
          <w:rFonts w:ascii="Times New Roman" w:hAnsi="Times New Roman"/>
          <w:color w:val="auto"/>
          <w:kern w:val="0"/>
          <w:sz w:val="24"/>
          <w:highlight w:val="none"/>
        </w:rPr>
        <w:t xml:space="preserve">                     </w:t>
      </w:r>
    </w:p>
    <w:tbl>
      <w:tblPr>
        <w:tblStyle w:val="18"/>
        <w:tblW w:w="9315" w:type="dxa"/>
        <w:tblInd w:w="115" w:type="dxa"/>
        <w:tblLayout w:type="fixed"/>
        <w:tblCellMar>
          <w:top w:w="0" w:type="dxa"/>
          <w:left w:w="108" w:type="dxa"/>
          <w:bottom w:w="0" w:type="dxa"/>
          <w:right w:w="108" w:type="dxa"/>
        </w:tblCellMar>
      </w:tblPr>
      <w:tblGrid>
        <w:gridCol w:w="680"/>
        <w:gridCol w:w="1735"/>
        <w:gridCol w:w="885"/>
        <w:gridCol w:w="4200"/>
        <w:gridCol w:w="660"/>
        <w:gridCol w:w="1155"/>
      </w:tblGrid>
      <w:tr>
        <w:tblPrEx>
          <w:tblLayout w:type="fixed"/>
          <w:tblCellMar>
            <w:top w:w="0" w:type="dxa"/>
            <w:left w:w="108" w:type="dxa"/>
            <w:bottom w:w="0" w:type="dxa"/>
            <w:right w:w="108" w:type="dxa"/>
          </w:tblCellMar>
        </w:tblPrEx>
        <w:trPr>
          <w:trHeight w:val="425" w:hRule="atLeast"/>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序号</w:t>
            </w:r>
          </w:p>
        </w:tc>
        <w:tc>
          <w:tcPr>
            <w:tcW w:w="173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w:t>
            </w:r>
          </w:p>
        </w:tc>
        <w:tc>
          <w:tcPr>
            <w:tcW w:w="5745"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ind w:right="-212"/>
              <w:jc w:val="center"/>
              <w:rPr>
                <w:rFonts w:ascii="Times New Roman" w:hAnsi="Times New Roman"/>
                <w:color w:val="auto"/>
                <w:kern w:val="0"/>
                <w:szCs w:val="21"/>
                <w:highlight w:val="none"/>
              </w:rPr>
            </w:pPr>
            <w:r>
              <w:rPr>
                <w:rFonts w:ascii="Times New Roman" w:hAnsi="Times New Roman"/>
                <w:color w:val="auto"/>
                <w:kern w:val="0"/>
                <w:szCs w:val="21"/>
                <w:highlight w:val="none"/>
              </w:rPr>
              <w:t>评   审  标   准</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评审计分</w:t>
            </w:r>
          </w:p>
        </w:tc>
      </w:tr>
      <w:tr>
        <w:tblPrEx>
          <w:tblLayout w:type="fixed"/>
          <w:tblCellMar>
            <w:top w:w="0" w:type="dxa"/>
            <w:left w:w="108" w:type="dxa"/>
            <w:bottom w:w="0" w:type="dxa"/>
            <w:right w:w="108" w:type="dxa"/>
          </w:tblCellMar>
        </w:tblPrEx>
        <w:trPr>
          <w:trHeight w:val="425" w:hRule="atLeast"/>
        </w:trPr>
        <w:tc>
          <w:tcPr>
            <w:tcW w:w="6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173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类似工程</w:t>
            </w:r>
          </w:p>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监理经验</w:t>
            </w: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三个及以上类似工程监理经验</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两个类似工程监理经验</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28</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一个类似工程监理经验</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25</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无类似工程监理经验</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173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项目及企业获</w:t>
            </w:r>
          </w:p>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奖情况</w:t>
            </w:r>
          </w:p>
        </w:tc>
        <w:tc>
          <w:tcPr>
            <w:tcW w:w="8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国家级</w:t>
            </w:r>
          </w:p>
        </w:tc>
        <w:tc>
          <w:tcPr>
            <w:tcW w:w="42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每项鲁班奖</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42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每项在全国范围组织学习交流的建设工程项目施工安全生产标准化工地或全国建筑工程装饰奖</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c>
          <w:tcPr>
            <w:tcW w:w="8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省  级</w:t>
            </w:r>
          </w:p>
        </w:tc>
        <w:tc>
          <w:tcPr>
            <w:tcW w:w="42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每项芙蓉奖工程</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8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42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每项省优质工程</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8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42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每项省建筑施工安全生产标准化年度项目考评优良工地</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0.3</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173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企业诚信</w:t>
            </w:r>
          </w:p>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等级</w:t>
            </w: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AAA级</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35</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AA级</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32</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A级</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29</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B级</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24</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未参加省建设监理协会诚信等级评定</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24</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173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spacing w:val="-12"/>
                <w:kern w:val="0"/>
                <w:szCs w:val="21"/>
                <w:highlight w:val="none"/>
              </w:rPr>
            </w:pPr>
            <w:r>
              <w:rPr>
                <w:rFonts w:ascii="Times New Roman" w:hAnsi="Times New Roman"/>
                <w:color w:val="auto"/>
                <w:spacing w:val="-8"/>
                <w:kern w:val="0"/>
                <w:szCs w:val="21"/>
                <w:highlight w:val="none"/>
              </w:rPr>
              <w:t>投标人</w:t>
            </w:r>
            <w:r>
              <w:rPr>
                <w:rFonts w:ascii="Times New Roman" w:hAnsi="Times New Roman"/>
                <w:color w:val="auto"/>
                <w:spacing w:val="-12"/>
                <w:kern w:val="0"/>
                <w:szCs w:val="21"/>
                <w:highlight w:val="none"/>
              </w:rPr>
              <w:t>不良</w:t>
            </w:r>
          </w:p>
          <w:p>
            <w:pPr>
              <w:widowControl/>
              <w:spacing w:line="320" w:lineRule="exact"/>
              <w:jc w:val="center"/>
              <w:rPr>
                <w:rFonts w:ascii="Times New Roman" w:hAnsi="Times New Roman"/>
                <w:color w:val="auto"/>
                <w:spacing w:val="-12"/>
                <w:kern w:val="0"/>
                <w:szCs w:val="21"/>
                <w:highlight w:val="none"/>
              </w:rPr>
            </w:pPr>
            <w:r>
              <w:rPr>
                <w:rFonts w:ascii="Times New Roman" w:hAnsi="Times New Roman"/>
                <w:color w:val="auto"/>
                <w:spacing w:val="-12"/>
                <w:kern w:val="0"/>
                <w:szCs w:val="21"/>
                <w:highlight w:val="none"/>
              </w:rPr>
              <w:t>情况</w:t>
            </w: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没有不良行为记录</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35</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spacing w:val="-12"/>
                <w:kern w:val="0"/>
                <w:szCs w:val="21"/>
                <w:highlight w:val="none"/>
              </w:rPr>
            </w:pP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每发生一次一般不良行为记录</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spacing w:val="-12"/>
                <w:kern w:val="0"/>
                <w:szCs w:val="21"/>
                <w:highlight w:val="none"/>
              </w:rPr>
            </w:pP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每发生一次严重不良行为记录</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-5</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spacing w:val="-12"/>
                <w:kern w:val="0"/>
                <w:szCs w:val="21"/>
                <w:highlight w:val="none"/>
              </w:rPr>
            </w:pPr>
          </w:p>
        </w:tc>
        <w:tc>
          <w:tcPr>
            <w:tcW w:w="508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每项省建筑施工安全生产标准化季度项目考评不合格项目</w:t>
            </w:r>
          </w:p>
        </w:tc>
        <w:tc>
          <w:tcPr>
            <w:tcW w:w="6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-0.3</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r>
        <w:tblPrEx>
          <w:tblLayout w:type="fixed"/>
          <w:tblCellMar>
            <w:top w:w="0" w:type="dxa"/>
            <w:left w:w="108" w:type="dxa"/>
            <w:bottom w:w="0" w:type="dxa"/>
            <w:right w:w="108" w:type="dxa"/>
          </w:tblCellMar>
        </w:tblPrEx>
        <w:trPr>
          <w:trHeight w:val="425" w:hRule="atLeast"/>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5</w:t>
            </w:r>
          </w:p>
        </w:tc>
        <w:tc>
          <w:tcPr>
            <w:tcW w:w="7480" w:type="dxa"/>
            <w:gridSpan w:val="4"/>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合  计</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p>
        </w:tc>
      </w:tr>
    </w:tbl>
    <w:p>
      <w:pPr>
        <w:widowControl/>
        <w:shd w:val="clear" w:color="auto" w:fill="FFFFFF"/>
        <w:spacing w:line="360" w:lineRule="exact"/>
        <w:jc w:val="left"/>
        <w:rPr>
          <w:rFonts w:ascii="Times New Roman" w:hAnsi="Times New Roman"/>
          <w:color w:val="auto"/>
          <w:kern w:val="0"/>
          <w:sz w:val="24"/>
          <w:highlight w:val="none"/>
        </w:rPr>
      </w:pPr>
      <w:r>
        <w:rPr>
          <w:rFonts w:ascii="Times New Roman" w:hAnsi="Times New Roman"/>
          <w:color w:val="auto"/>
          <w:kern w:val="0"/>
          <w:sz w:val="24"/>
          <w:highlight w:val="none"/>
        </w:rPr>
        <w:t>评标委员会全体成员签字/日期：</w:t>
      </w:r>
    </w:p>
    <w:p>
      <w:pPr>
        <w:widowControl/>
        <w:shd w:val="clear" w:color="auto" w:fill="FFFFFF"/>
        <w:spacing w:line="400" w:lineRule="exact"/>
        <w:jc w:val="left"/>
        <w:rPr>
          <w:rFonts w:ascii="Times New Roman" w:hAnsi="Times New Roman" w:eastAsia="楷体_GB2312"/>
          <w:color w:val="auto"/>
          <w:kern w:val="0"/>
          <w:sz w:val="24"/>
          <w:highlight w:val="none"/>
        </w:rPr>
      </w:pPr>
    </w:p>
    <w:p>
      <w:pPr>
        <w:widowControl/>
        <w:shd w:val="clear" w:color="auto" w:fill="FFFFFF"/>
        <w:spacing w:line="400" w:lineRule="exact"/>
        <w:jc w:val="left"/>
        <w:rPr>
          <w:rFonts w:ascii="Times New Roman" w:hAnsi="Times New Roman" w:eastAsia="楷体_GB2312"/>
          <w:color w:val="auto"/>
          <w:kern w:val="0"/>
          <w:sz w:val="24"/>
          <w:highlight w:val="none"/>
        </w:rPr>
      </w:pPr>
    </w:p>
    <w:p>
      <w:pPr>
        <w:widowControl/>
        <w:shd w:val="clear" w:color="auto" w:fill="FFFFFF"/>
        <w:spacing w:line="400" w:lineRule="exact"/>
        <w:jc w:val="left"/>
        <w:rPr>
          <w:rFonts w:ascii="Times New Roman" w:hAnsi="Times New Roman" w:eastAsia="楷体_GB2312"/>
          <w:color w:val="auto"/>
          <w:kern w:val="0"/>
          <w:sz w:val="24"/>
          <w:highlight w:val="none"/>
        </w:rPr>
      </w:pPr>
    </w:p>
    <w:p>
      <w:pPr>
        <w:widowControl/>
        <w:shd w:val="clear" w:color="auto" w:fill="FFFFFF"/>
        <w:spacing w:line="400" w:lineRule="exact"/>
        <w:jc w:val="left"/>
        <w:rPr>
          <w:rFonts w:ascii="Times New Roman" w:hAnsi="Times New Roman" w:eastAsia="楷体_GB2312"/>
          <w:color w:val="auto"/>
          <w:kern w:val="0"/>
          <w:sz w:val="24"/>
          <w:highlight w:val="none"/>
        </w:rPr>
      </w:pPr>
    </w:p>
    <w:p>
      <w:pPr>
        <w:widowControl/>
        <w:shd w:val="clear" w:color="auto" w:fill="FFFFFF"/>
        <w:spacing w:line="400" w:lineRule="exact"/>
        <w:jc w:val="left"/>
        <w:rPr>
          <w:rFonts w:ascii="Times New Roman" w:hAnsi="Times New Roman" w:eastAsia="楷体_GB2312"/>
          <w:color w:val="auto"/>
          <w:kern w:val="0"/>
          <w:sz w:val="24"/>
          <w:highlight w:val="none"/>
        </w:rPr>
      </w:pPr>
    </w:p>
    <w:p>
      <w:pPr>
        <w:widowControl/>
        <w:shd w:val="clear" w:color="auto" w:fill="FFFFFF"/>
        <w:spacing w:line="400" w:lineRule="exact"/>
        <w:jc w:val="left"/>
        <w:rPr>
          <w:rFonts w:ascii="Times New Roman" w:hAnsi="Times New Roman" w:eastAsia="楷体_GB2312"/>
          <w:color w:val="auto"/>
          <w:kern w:val="0"/>
          <w:sz w:val="24"/>
          <w:highlight w:val="none"/>
        </w:rPr>
      </w:pPr>
    </w:p>
    <w:p>
      <w:pPr>
        <w:widowControl/>
        <w:shd w:val="clear" w:color="auto" w:fill="FFFFFF"/>
        <w:spacing w:line="400" w:lineRule="exact"/>
        <w:jc w:val="left"/>
        <w:rPr>
          <w:rFonts w:ascii="Times New Roman" w:hAnsi="Times New Roman" w:eastAsia="楷体_GB2312"/>
          <w:color w:val="auto"/>
          <w:kern w:val="0"/>
          <w:sz w:val="24"/>
          <w:highlight w:val="none"/>
        </w:rPr>
      </w:pPr>
    </w:p>
    <w:p>
      <w:pPr>
        <w:widowControl/>
        <w:shd w:val="clear" w:color="auto" w:fill="FFFFFF"/>
        <w:spacing w:line="400" w:lineRule="exact"/>
        <w:jc w:val="left"/>
        <w:rPr>
          <w:rFonts w:ascii="Times New Roman" w:hAnsi="Times New Roman" w:eastAsia="楷体_GB2312"/>
          <w:color w:val="auto"/>
          <w:kern w:val="0"/>
          <w:sz w:val="24"/>
          <w:highlight w:val="none"/>
        </w:rPr>
      </w:pPr>
    </w:p>
    <w:p>
      <w:pPr>
        <w:widowControl/>
        <w:shd w:val="clear" w:color="auto" w:fill="FFFFFF"/>
        <w:spacing w:line="400" w:lineRule="exact"/>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br w:type="page"/>
      </w:r>
      <w:r>
        <w:rPr>
          <w:rFonts w:ascii="Times New Roman" w:hAnsi="Times New Roman" w:eastAsia="楷体_GB2312"/>
          <w:color w:val="auto"/>
          <w:kern w:val="0"/>
          <w:sz w:val="24"/>
          <w:highlight w:val="none"/>
        </w:rPr>
        <w:t>备注：1、所称“类似工程”， 房屋建筑工程指结构、规模、面积、层次、跨度等相近；工业项目指工艺、规模、品种、生产方法、主要构筑物结构形式等相同或者相近；道路工程指道路等级、路面类型等相近；桥梁工程指结构类型、桥跨、工程地点等相近；其它市政工程指专业、规模等相近。</w:t>
      </w:r>
    </w:p>
    <w:p>
      <w:pPr>
        <w:widowControl/>
        <w:shd w:val="clear" w:color="auto" w:fill="FFFFFF"/>
        <w:spacing w:line="400" w:lineRule="exact"/>
        <w:ind w:firstLine="422" w:firstLineChars="200"/>
        <w:jc w:val="left"/>
        <w:rPr>
          <w:rFonts w:ascii="Times New Roman" w:hAnsi="Times New Roman" w:eastAsia="楷体_GB2312"/>
          <w:color w:val="auto"/>
          <w:kern w:val="0"/>
          <w:sz w:val="24"/>
          <w:highlight w:val="none"/>
        </w:rPr>
      </w:pPr>
      <w:r>
        <w:rPr>
          <w:rFonts w:ascii="Times New Roman" w:hAnsi="Times New Roman"/>
          <w:b/>
          <w:bCs/>
          <w:color w:val="auto"/>
          <w:szCs w:val="21"/>
          <w:highlight w:val="none"/>
        </w:rPr>
        <w:t>本项目类似工程指近四年已完工的监理合同</w:t>
      </w:r>
      <w:r>
        <w:rPr>
          <w:rFonts w:hint="eastAsia" w:ascii="Times New Roman" w:hAnsi="Times New Roman"/>
          <w:b/>
          <w:bCs/>
          <w:color w:val="auto"/>
          <w:szCs w:val="21"/>
          <w:highlight w:val="none"/>
        </w:rPr>
        <w:t>建安</w:t>
      </w:r>
      <w:r>
        <w:rPr>
          <w:rFonts w:ascii="Times New Roman" w:hAnsi="Times New Roman"/>
          <w:b/>
          <w:bCs/>
          <w:color w:val="auto"/>
          <w:szCs w:val="21"/>
          <w:highlight w:val="none"/>
        </w:rPr>
        <w:t>工程造价在</w:t>
      </w:r>
      <w:r>
        <w:rPr>
          <w:rFonts w:hint="eastAsia" w:ascii="Times New Roman" w:hAnsi="Times New Roman"/>
          <w:b/>
          <w:bCs/>
          <w:color w:val="auto"/>
          <w:szCs w:val="21"/>
          <w:highlight w:val="none"/>
        </w:rPr>
        <w:t>45</w:t>
      </w:r>
      <w:r>
        <w:rPr>
          <w:rFonts w:ascii="Times New Roman" w:hAnsi="Times New Roman"/>
          <w:b/>
          <w:bCs/>
          <w:color w:val="auto"/>
          <w:szCs w:val="21"/>
          <w:highlight w:val="none"/>
        </w:rPr>
        <w:t>000万元及以上或者单项合同监理费为</w:t>
      </w:r>
      <w:r>
        <w:rPr>
          <w:rFonts w:hint="eastAsia" w:ascii="Times New Roman" w:hAnsi="Times New Roman"/>
          <w:b/>
          <w:bCs/>
          <w:color w:val="auto"/>
          <w:szCs w:val="21"/>
          <w:highlight w:val="none"/>
          <w:lang w:val="en-US" w:eastAsia="zh-CN"/>
        </w:rPr>
        <w:t>520</w:t>
      </w:r>
      <w:r>
        <w:rPr>
          <w:rFonts w:ascii="Times New Roman" w:hAnsi="Times New Roman"/>
          <w:b/>
          <w:bCs/>
          <w:color w:val="auto"/>
          <w:szCs w:val="21"/>
          <w:highlight w:val="none"/>
        </w:rPr>
        <w:t>万元及以上的</w:t>
      </w:r>
      <w:r>
        <w:rPr>
          <w:rFonts w:hint="eastAsia" w:ascii="Times New Roman" w:hAnsi="Times New Roman"/>
          <w:b/>
          <w:bCs/>
          <w:color w:val="auto"/>
          <w:szCs w:val="21"/>
          <w:highlight w:val="none"/>
        </w:rPr>
        <w:t>市政桥梁</w:t>
      </w:r>
      <w:r>
        <w:rPr>
          <w:rFonts w:ascii="Times New Roman" w:hAnsi="Times New Roman"/>
          <w:b/>
          <w:bCs/>
          <w:color w:val="auto"/>
          <w:szCs w:val="21"/>
          <w:highlight w:val="none"/>
        </w:rPr>
        <w:t>监理项目</w:t>
      </w:r>
      <w:r>
        <w:rPr>
          <w:rFonts w:ascii="Times New Roman" w:hAnsi="Times New Roman" w:eastAsia="仿宋"/>
          <w:b/>
          <w:bCs/>
          <w:color w:val="auto"/>
          <w:highlight w:val="none"/>
        </w:rPr>
        <w:t>。</w:t>
      </w:r>
      <w:r>
        <w:rPr>
          <w:rFonts w:ascii="Times New Roman" w:hAnsi="Times New Roman" w:eastAsia="楷体_GB2312"/>
          <w:color w:val="auto"/>
          <w:kern w:val="0"/>
          <w:sz w:val="24"/>
          <w:highlight w:val="none"/>
        </w:rPr>
        <w:t>类似工程证明材料，招标工程以同时提供的中标通知书、监理合同、监理业务手册为准；非招标工程以同时提供监理合同、监理业务手册为准。</w:t>
      </w:r>
    </w:p>
    <w:p>
      <w:pPr>
        <w:widowControl/>
        <w:shd w:val="clear" w:color="auto" w:fill="FFFFFF"/>
        <w:spacing w:line="400" w:lineRule="exact"/>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 xml:space="preserve">     2．加分和扣分具有有效期的，以提交投标文件截止时间为准；且加分项目以投标人投标文件中提供的证明材料为准。有效期限按下列规定执行：</w:t>
      </w:r>
    </w:p>
    <w:p>
      <w:pPr>
        <w:widowControl/>
        <w:shd w:val="clear" w:color="auto" w:fill="FFFFFF"/>
        <w:spacing w:line="400" w:lineRule="exact"/>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 xml:space="preserve">    </w:t>
      </w:r>
      <w:r>
        <w:rPr>
          <w:rFonts w:hint="eastAsia" w:ascii="宋体" w:hAnsi="宋体" w:cs="宋体"/>
          <w:color w:val="auto"/>
          <w:kern w:val="0"/>
          <w:sz w:val="24"/>
          <w:highlight w:val="none"/>
        </w:rPr>
        <w:t>①</w:t>
      </w:r>
      <w:r>
        <w:rPr>
          <w:rFonts w:ascii="Times New Roman" w:hAnsi="Times New Roman" w:eastAsia="楷体_GB2312"/>
          <w:color w:val="auto"/>
          <w:kern w:val="0"/>
          <w:sz w:val="24"/>
          <w:highlight w:val="none"/>
        </w:rPr>
        <w:t xml:space="preserve"> 企业及其拟任总监理工程师获奖加分，鲁班奖以提交截止时间前最新（近）的2个年度为准，其他奖项均以最新（近）的1个年度情况为准。按文件公布时间计算。</w:t>
      </w:r>
    </w:p>
    <w:p>
      <w:pPr>
        <w:widowControl/>
        <w:shd w:val="clear" w:color="auto" w:fill="FFFFFF"/>
        <w:spacing w:line="400" w:lineRule="exact"/>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 xml:space="preserve">    </w:t>
      </w:r>
      <w:r>
        <w:rPr>
          <w:rFonts w:hint="eastAsia" w:ascii="宋体" w:hAnsi="宋体" w:cs="宋体"/>
          <w:color w:val="auto"/>
          <w:kern w:val="0"/>
          <w:sz w:val="24"/>
          <w:highlight w:val="none"/>
        </w:rPr>
        <w:t>②</w:t>
      </w:r>
      <w:r>
        <w:rPr>
          <w:rFonts w:ascii="Times New Roman" w:hAnsi="Times New Roman" w:eastAsia="楷体_GB2312"/>
          <w:color w:val="auto"/>
          <w:kern w:val="0"/>
          <w:sz w:val="24"/>
          <w:highlight w:val="none"/>
        </w:rPr>
        <w:t>企业不良行为记录扣分有效期为180天，拟任总监理工程师、专业监理工程师不良行为记录扣分有效期为720天（省内企业以开标前省住房和城乡建设厅已发文件为准），按不良行为记录的相关规定计算；省建筑施工安全生产标准化季度考评不合格项目扣分有效期为90天（以开标前省住房和城乡建设厅已发文件为准）；</w:t>
      </w:r>
    </w:p>
    <w:p>
      <w:pPr>
        <w:widowControl/>
        <w:shd w:val="clear" w:color="auto" w:fill="FFFFFF"/>
        <w:spacing w:line="400" w:lineRule="exact"/>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 xml:space="preserve">    </w:t>
      </w:r>
      <w:r>
        <w:rPr>
          <w:rFonts w:hint="eastAsia" w:ascii="宋体" w:hAnsi="宋体" w:cs="宋体"/>
          <w:color w:val="auto"/>
          <w:kern w:val="0"/>
          <w:sz w:val="24"/>
          <w:highlight w:val="none"/>
        </w:rPr>
        <w:t>③</w:t>
      </w:r>
      <w:r>
        <w:rPr>
          <w:rFonts w:ascii="Times New Roman" w:hAnsi="Times New Roman" w:eastAsia="楷体_GB2312"/>
          <w:color w:val="auto"/>
          <w:kern w:val="0"/>
          <w:sz w:val="24"/>
          <w:highlight w:val="none"/>
        </w:rPr>
        <w:t>类似工程加分有效期投标人为48个月，拟任总监理工程师为60个月，按监理业务手册上注明的竣工时间计算。</w:t>
      </w:r>
    </w:p>
    <w:p>
      <w:pPr>
        <w:widowControl/>
        <w:numPr>
          <w:ilvl w:val="0"/>
          <w:numId w:val="11"/>
        </w:numPr>
        <w:shd w:val="clear" w:color="auto" w:fill="FFFFFF"/>
        <w:spacing w:line="400" w:lineRule="exact"/>
        <w:ind w:firstLine="480"/>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投标人应当提供获奖工程的公布文件，如果获奖工程的公布文件没有载明企业、总监理工程师，则以企业提供的相应中标通知书、监理合同、监理业务手册等证明资料为准。如果招标项目的工程类型与获奖工程的工程类型不一致，则该获奖工程不加分（即房建获奖工程不能加到市政工程，市政获奖工程不能加到房建工程）。招标项目的工程规模及面积没有达到相应奖项所要求的规模及面积时，该奖项不加分；其中外省（市）的奖项以本省相应奖项的规模及面积要求为准，在全国范围组织学习交流的建设工程项目施工安全生产标准化工地、全国建筑工程装饰奖以芙蓉奖的规模及面积要求为准；外省（市）由省级建设行政主管部门或省级建筑业协会评定的综合工程质量奖项按省优质工程奖加分，投标人如能提供每年该奖项工程数量控制在50项以内的有效证明文件，则该获奖工程按芙蓉奖加分。拟任本招标项目的总监理工程师的奖项加分不超过1项；企业及拟任本招标项目的总监理工程师对同类奖项（包括同一工程）的奖项加分，只能按最高奖项（级）加（计）分，不得重复加（计）分。鲁班奖、在全国范围组织学习交流的建设工程项目施工安全生产标准化工地、全国建筑工程装饰奖累计加分不超过2项。芙蓉奖、省优质工程加分累计不超过3项时，省建筑施工安全生产标准化年度项目考评优良工地加分累计不超过25项。</w:t>
      </w:r>
    </w:p>
    <w:p>
      <w:pPr>
        <w:widowControl/>
        <w:shd w:val="clear" w:color="auto" w:fill="FFFFFF"/>
        <w:spacing w:line="400" w:lineRule="exact"/>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 xml:space="preserve">     4．需要对投标人有关公布文件等证明材料进行澄清或核实的，招标人一般应当在招标文件中载明核实的内容，投标人应当尽量提供原件核实；如确有困难无法提供原件的，所提供的复印件应经原发证部门盖章确认。</w:t>
      </w:r>
    </w:p>
    <w:p>
      <w:pPr>
        <w:widowControl/>
        <w:shd w:val="clear" w:color="auto" w:fill="FFFFFF"/>
        <w:spacing w:line="400" w:lineRule="exact"/>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 xml:space="preserve">     5．不良行为记录包括工程质量、安全生产、市场行为等方面的情况。省住房和城乡建设厅发布的《湖南省建筑市场责任主体不良行为记录》是确认本省行政区域内不良行为记录的依据，其有效期限统一按省住房和城乡建设厅发布《湖南省建筑市场责任主体不良行为记录》的时间计算。</w:t>
      </w:r>
    </w:p>
    <w:p>
      <w:pPr>
        <w:widowControl/>
        <w:shd w:val="clear" w:color="auto" w:fill="FFFFFF"/>
        <w:spacing w:line="400" w:lineRule="exact"/>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 xml:space="preserve">    本省行政区域外符合以下两种情形之一的不良行为记录，作为我省在房屋建筑和市政工程招标评标中的扣分依据：1.住房和城乡建设部统一在全国公布的；2.由外省（自治区、直辖市）建设行政主管部门在当地建筑市场信息平台上统一公布的，其认定标准、认定程序、结果运用与我省规定基本一致，且直接运用于招投标，在评标时采取单项次扣分的。对外省不良行为记录认定标准、认定程序、结果运用与我省规定差别较大，且不直接运用于招投标，在评标中不采取单项次扣分的（如只综合运用于信用等级评价），不作为我省在房屋建筑和市政工程招标评标中的直接扣分依据。本省行政区域外不良行为记录扣分有效期统一按照我省规定执行。当外省相关部门没有确定不良行为记录程度为一般或严重时，按照我省认定标准确认。</w:t>
      </w:r>
    </w:p>
    <w:p>
      <w:pPr>
        <w:widowControl/>
        <w:shd w:val="clear" w:color="auto" w:fill="FFFFFF"/>
        <w:spacing w:line="400" w:lineRule="exact"/>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 xml:space="preserve">    省外企业应当在投标文件中如实反映和提供企业及其拟任总监理工程师、专业监理工程师有效期限内符合上述规定的不良行为记录，并附企业注册所在地省级建设行政主管部门的证明文件原件或相关官方网站下载资料。当投标人未按要求提供不良记录相关资料时，拟任本招标项目的总监理工程师、专业监理工程师不良行为记录项目分别扣7分，投标人不良行为记录扣10分。</w:t>
      </w:r>
    </w:p>
    <w:p>
      <w:pPr>
        <w:widowControl/>
        <w:shd w:val="clear" w:color="auto" w:fill="FFFFFF"/>
        <w:spacing w:line="400" w:lineRule="exact"/>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 xml:space="preserve">    6．在本省境内超高层、地铁等项目监理投标中，鼓励省外有业绩的企业与省内企业以联合体形式申请投标。招标人可以根据具体情况，对符合前述要求以联合体形式投标的设置2—3分加分项目。对符合前述要求以联合体形式投标的评审计分，除类似工程监理业绩可以按照牵头人的计算外，企业信誉按照联合体协议中的约定的各成员分工所占合同工作量的比例，进行加权折算。</w:t>
      </w:r>
    </w:p>
    <w:p>
      <w:pPr>
        <w:widowControl/>
        <w:shd w:val="clear" w:color="auto" w:fill="FFFFFF"/>
        <w:spacing w:line="400" w:lineRule="exact"/>
        <w:ind w:firstLine="480"/>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7．企业诚信等级按省建设监理协会公布的有效期内的结果。</w:t>
      </w:r>
    </w:p>
    <w:p>
      <w:pPr>
        <w:widowControl/>
        <w:shd w:val="clear" w:color="auto" w:fill="FFFFFF"/>
        <w:spacing w:line="400" w:lineRule="exact"/>
        <w:ind w:firstLine="480"/>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8.类似工程（项目）经验、工程获奖情况、企业通过安全认证、企业诚信等级等计分项目，在评审时须提供有效原件备查，且在投标文件中附其复印件或扫描件，否则不予计分。</w:t>
      </w:r>
    </w:p>
    <w:p>
      <w:pPr>
        <w:widowControl/>
        <w:shd w:val="clear" w:color="auto" w:fill="FFFFFF"/>
        <w:spacing w:line="400" w:lineRule="exact"/>
        <w:ind w:firstLine="480"/>
        <w:jc w:val="left"/>
        <w:rPr>
          <w:rFonts w:ascii="Times New Roman" w:hAnsi="Times New Roman"/>
          <w:b/>
          <w:color w:val="auto"/>
          <w:kern w:val="0"/>
          <w:sz w:val="24"/>
          <w:highlight w:val="none"/>
        </w:rPr>
      </w:pPr>
      <w:r>
        <w:rPr>
          <w:rFonts w:ascii="Times New Roman" w:hAnsi="Times New Roman"/>
          <w:b/>
          <w:color w:val="auto"/>
          <w:kern w:val="0"/>
          <w:sz w:val="24"/>
          <w:highlight w:val="none"/>
        </w:rPr>
        <w:br w:type="page"/>
      </w:r>
      <w:r>
        <w:rPr>
          <w:rFonts w:ascii="Times New Roman" w:hAnsi="Times New Roman"/>
          <w:b/>
          <w:color w:val="auto"/>
          <w:kern w:val="0"/>
          <w:sz w:val="24"/>
          <w:highlight w:val="none"/>
        </w:rPr>
        <w:t xml:space="preserve">附表13 </w:t>
      </w:r>
    </w:p>
    <w:p>
      <w:pPr>
        <w:widowControl/>
        <w:shd w:val="clear" w:color="auto" w:fill="FFFFFF"/>
        <w:spacing w:line="480" w:lineRule="auto"/>
        <w:jc w:val="center"/>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投标报价评审计分表</w:t>
      </w:r>
    </w:p>
    <w:tbl>
      <w:tblPr>
        <w:tblStyle w:val="18"/>
        <w:tblW w:w="9255" w:type="dxa"/>
        <w:tblInd w:w="6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0"/>
        <w:gridCol w:w="263"/>
        <w:gridCol w:w="1984"/>
        <w:gridCol w:w="1383"/>
        <w:gridCol w:w="60"/>
        <w:gridCol w:w="1895"/>
        <w:gridCol w:w="400"/>
        <w:gridCol w:w="126"/>
        <w:gridCol w:w="1142"/>
        <w:gridCol w:w="16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3" w:hRule="atLeast"/>
        </w:trPr>
        <w:tc>
          <w:tcPr>
            <w:tcW w:w="390" w:type="dxa"/>
            <w:tcBorders>
              <w:top w:val="single" w:color="auto" w:sz="12"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序号</w:t>
            </w:r>
          </w:p>
        </w:tc>
        <w:tc>
          <w:tcPr>
            <w:tcW w:w="3630" w:type="dxa"/>
            <w:gridSpan w:val="3"/>
            <w:tcBorders>
              <w:top w:val="single" w:color="auto" w:sz="12"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       目</w:t>
            </w:r>
          </w:p>
        </w:tc>
        <w:tc>
          <w:tcPr>
            <w:tcW w:w="2355" w:type="dxa"/>
            <w:gridSpan w:val="3"/>
            <w:tcBorders>
              <w:top w:val="single" w:color="auto" w:sz="12"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评分标准</w:t>
            </w:r>
          </w:p>
        </w:tc>
        <w:tc>
          <w:tcPr>
            <w:tcW w:w="2880" w:type="dxa"/>
            <w:gridSpan w:val="3"/>
            <w:tcBorders>
              <w:top w:val="single" w:color="auto" w:sz="12" w:space="0"/>
              <w:left w:val="single" w:color="auto" w:sz="4" w:space="0"/>
              <w:bottom w:val="single" w:color="auto" w:sz="4"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备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390" w:type="dxa"/>
            <w:tcBorders>
              <w:top w:val="single" w:color="auto" w:sz="4"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3630" w:type="dxa"/>
            <w:gridSpan w:val="3"/>
            <w:tcBorders>
              <w:top w:val="single" w:color="auto" w:sz="4" w:space="0"/>
              <w:left w:val="single" w:color="auto" w:sz="4" w:space="0"/>
              <w:bottom w:val="single" w:color="auto" w:sz="4" w:space="0"/>
              <w:right w:val="single" w:color="auto" w:sz="4" w:space="0"/>
            </w:tcBorders>
            <w:vAlign w:val="center"/>
          </w:tcPr>
          <w:p>
            <w:pPr>
              <w:widowControl/>
              <w:spacing w:line="10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drawing>
                <wp:inline distT="0" distB="0" distL="114300" distR="114300">
                  <wp:extent cx="1141095" cy="353695"/>
                  <wp:effectExtent l="0" t="0" r="1905" b="8255"/>
                  <wp:docPr id="1" name="图片 1" descr="计算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计算公式1"/>
                          <pic:cNvPicPr>
                            <a:picLocks noChangeAspect="1"/>
                          </pic:cNvPicPr>
                        </pic:nvPicPr>
                        <pic:blipFill>
                          <a:blip r:embed="rId19"/>
                          <a:stretch>
                            <a:fillRect/>
                          </a:stretch>
                        </pic:blipFill>
                        <pic:spPr>
                          <a:xfrm>
                            <a:off x="0" y="0"/>
                            <a:ext cx="1141095" cy="353695"/>
                          </a:xfrm>
                          <a:prstGeom prst="rect">
                            <a:avLst/>
                          </a:prstGeom>
                          <a:noFill/>
                          <a:ln w="9525">
                            <a:noFill/>
                          </a:ln>
                        </pic:spPr>
                      </pic:pic>
                    </a:graphicData>
                  </a:graphic>
                </wp:inline>
              </w:drawing>
            </w:r>
            <w:r>
              <w:rPr>
                <w:rFonts w:ascii="Times New Roman" w:hAnsi="Times New Roman"/>
                <w:color w:val="auto"/>
                <w:kern w:val="0"/>
                <w:position w:val="18"/>
                <w:szCs w:val="21"/>
                <w:highlight w:val="none"/>
              </w:rPr>
              <w:t>×100%＞1%</w:t>
            </w:r>
          </w:p>
        </w:tc>
        <w:tc>
          <w:tcPr>
            <w:tcW w:w="2355"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从1%开始每升1%减1分，即100-1*（100X-1）</w:t>
            </w:r>
          </w:p>
        </w:tc>
        <w:tc>
          <w:tcPr>
            <w:tcW w:w="2880" w:type="dxa"/>
            <w:gridSpan w:val="3"/>
            <w:vMerge w:val="restart"/>
            <w:tcBorders>
              <w:top w:val="single" w:color="auto" w:sz="4" w:space="0"/>
              <w:left w:val="single" w:color="auto" w:sz="4" w:space="0"/>
              <w:bottom w:val="single" w:color="auto" w:sz="4"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X为投标报价升、降率百分点数的绝对值，即</w:t>
            </w:r>
          </w:p>
          <w:p>
            <w:pPr>
              <w:widowControl/>
              <w:spacing w:line="320" w:lineRule="exact"/>
              <w:ind w:firstLine="120"/>
              <w:jc w:val="left"/>
              <w:rPr>
                <w:rFonts w:ascii="Times New Roman" w:hAnsi="Times New Roman"/>
                <w:color w:val="auto"/>
                <w:kern w:val="0"/>
                <w:szCs w:val="21"/>
                <w:highlight w:val="none"/>
              </w:rPr>
            </w:pPr>
            <w:r>
              <w:rPr>
                <w:rFonts w:ascii="Times New Roman" w:hAnsi="Times New Roman"/>
                <w:color w:val="auto"/>
                <w:kern w:val="0"/>
                <w:szCs w:val="21"/>
                <w:highlight w:val="none"/>
              </w:rPr>
              <mc:AlternateContent>
                <mc:Choice Requires="wps">
                  <w:drawing>
                    <wp:anchor distT="0" distB="0" distL="114300" distR="114300" simplePos="0" relativeHeight="251656192" behindDoc="0" locked="0" layoutInCell="1" allowOverlap="1">
                      <wp:simplePos x="0" y="0"/>
                      <wp:positionH relativeFrom="column">
                        <wp:posOffset>1144270</wp:posOffset>
                      </wp:positionH>
                      <wp:positionV relativeFrom="paragraph">
                        <wp:posOffset>113665</wp:posOffset>
                      </wp:positionV>
                      <wp:extent cx="635" cy="495300"/>
                      <wp:effectExtent l="0" t="0" r="0" b="0"/>
                      <wp:wrapNone/>
                      <wp:docPr id="5" name="直接连接符 5"/>
                      <wp:cNvGraphicFramePr/>
                      <a:graphic xmlns:a="http://schemas.openxmlformats.org/drawingml/2006/main">
                        <a:graphicData uri="http://schemas.microsoft.com/office/word/2010/wordprocessingShape">
                          <wps:wsp>
                            <wps:cNvCnPr/>
                            <wps:spPr>
                              <a:xfrm flipH="1" flipV="1">
                                <a:off x="0" y="0"/>
                                <a:ext cx="635" cy="49530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90.1pt;margin-top:8.95pt;height:39pt;width:0.05pt;z-index:251656192;mso-width-relative:page;mso-height-relative:page;" filled="f" stroked="t" coordsize="21600,21600" o:gfxdata="UEsDBAoAAAAAAIdO4kAAAAAAAAAAAAAAAAAEAAAAZHJzL1BLAwQUAAAACACHTuJA096oJdMAAAAJ&#10;AQAADwAAAGRycy9kb3ducmV2LnhtbE2PTW7CMBCF95V6B2sqdVfsULVxQhwWSBwAWiGWJjZxVHuc&#10;xobQ23dYtbt5mk/vp1nfgmdXO6UhooJiIYBZ7KIZsFfw+bF9kcBS1mi0j2gV/NgE6/bxodG1iTPu&#10;7HWfe0YmmGqtwOU81pynztmg0yKOFul3jlPQmeTUczPpmcyD50sh3nnQA1KC06PdONt97S9BgZdC&#10;fh825XzcGUrZHrzDslDq+akQK2DZ3vIfDPf6VB1a6nSKFzSJedJSLAmlo6yA3QEpXoGdFFRvFfC2&#10;4f8XtL9QSwMEFAAAAAgAh07iQB/drgfkAQAArQMAAA4AAABkcnMvZTJvRG9jLnhtbK1TS44TMRDd&#10;I3EHy3vSPRkyYlrpzGLCwAJBJD77ij9pS/7JNunkElwAiR2sWLLnNgzHoMoJ0QAbhOiFVa7Pq3rP&#10;1fOrnbNsq1I2wff8bNJyprwI0vhNz1+/unnwiLNcwEuwwaue71XmV4v79+Zj7NQ0DMFKlRiC+NyN&#10;sedDKbFrmiwG5SBPQlQegzokBwWvadPIBCOiO9tM2/aiGUOSMQWhckbv8hDki4qvtRLlhdZZFWZ7&#10;jrOVeqZ6rulsFnPoNgniYMRxDPiHKRwYj01PUEsowN4m8weUMyKFHHSZiOCaoLURqnJANmftb2xe&#10;DhBV5YLi5HiSKf8/WPF8u0rMyJ7POPPg8Ilu33/59u7j968f8Lz9/InNSKQx5g5zr/0qHW85rhIx&#10;3unkmLYmPsX359V6QxbFkB/bVbH3J7HVrjCBzotz7CjQ//Bydt7Wl2gOaFQZUy5PVHCMjJ5b40kI&#10;6GD7LBecAFN/ppDbejb2/HI2JUzAPdIWCpouIrPsN7U2B2vkjbGWKnLarK9tYlugzagf8UTcX9Ko&#10;yRLycMirocPODArkYy9Z2UfUzONycxrBKcmZVfgvkIWA0BUw9m8ysbX1VKDq3h55kvAHqclaB7mv&#10;L9DQDXeiTnzcX1q6u3e07/5li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T3qgl0wAAAAkBAAAP&#10;AAAAAAAAAAEAIAAAACIAAABkcnMvZG93bnJldi54bWxQSwECFAAUAAAACACHTuJAH92uB+QBAACt&#10;AwAADgAAAAAAAAABACAAAAAiAQAAZHJzL2Uyb0RvYy54bWxQSwUGAAAAAAYABgBZAQAAeAUAAAAA&#10;">
                      <v:fill on="f" focussize="0,0"/>
                      <v:stroke color="#000000" joinstyle="round"/>
                      <v:imagedata o:title=""/>
                      <o:lock v:ext="edit" aspectratio="f"/>
                    </v:line>
                  </w:pict>
                </mc:Fallback>
              </mc:AlternateContent>
            </w:r>
            <w:r>
              <w:rPr>
                <w:rFonts w:ascii="Times New Roman" w:hAnsi="Times New Roman"/>
                <w:color w:val="auto"/>
                <w:kern w:val="0"/>
                <w:szCs w:val="21"/>
                <w:highlight w:val="none"/>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109855</wp:posOffset>
                      </wp:positionV>
                      <wp:extent cx="3175" cy="510540"/>
                      <wp:effectExtent l="4445" t="0" r="11430" b="3810"/>
                      <wp:wrapNone/>
                      <wp:docPr id="6" name="直接连接符 6"/>
                      <wp:cNvGraphicFramePr/>
                      <a:graphic xmlns:a="http://schemas.openxmlformats.org/drawingml/2006/main">
                        <a:graphicData uri="http://schemas.microsoft.com/office/word/2010/wordprocessingShape">
                          <wps:wsp>
                            <wps:cNvCnPr/>
                            <wps:spPr>
                              <a:xfrm>
                                <a:off x="0" y="0"/>
                                <a:ext cx="3175" cy="5105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8.65pt;height:40.2pt;width:0.25pt;z-index:251658240;mso-width-relative:page;mso-height-relative:page;" filled="f" stroked="t" coordsize="21600,21600" o:gfxdata="UEsDBAoAAAAAAIdO4kAAAAAAAAAAAAAAAAAEAAAAZHJzL1BLAwQUAAAACACHTuJAYUVumNMAAAAD&#10;AQAADwAAAGRycy9kb3ducmV2LnhtbE2PzU7DMBCE70i8g7VIXKrWbisIhDg9ALlxoYB63cZLEhGv&#10;09j9gadnOZXjzoxmvi1WJ9+rA42xC2xhPjOgiOvgOm4svL9V0ztQMSE77AOThW+KsCovLwrMXTjy&#10;Kx3WqVFSwjFHC21KQ651rFvyGGdhIBbvM4wek5xjo92IRyn3vV4Yc6s9diwLLQ702FL9td57C7H6&#10;oF31M6knZrNsAi12Ty/PaO311dw8gEp0Sucw/OELOpTCtA17dlH1FuSRJGq2BCXuDaithfssA10W&#10;+j97+QtQSwMEFAAAAAgAh07iQLj7jWfZAQAAmgMAAA4AAABkcnMvZTJvRG9jLnhtbK1TzY7TMBC+&#10;I/EOlu80aaEFoqZ72LJcEFSCfYCp7SSW/CePadqX4AWQuMGJI3fehuUxduyWssAFIXJwZuzxN/N9&#10;+bK82FvDdiqi9q7l00nNmXLCS+36ll+/uXrwhDNM4CQY71TLDwr5xer+veUYGjXzgzdSRUYgDpsx&#10;tHxIKTRVhWJQFnDig3J02PloIVEa+0pGGAndmmpW14tq9FGG6IVCpN318ZCvCn7XKZFedR2qxEzL&#10;abZU1ljWbV6r1RKaPkIYtDiNAf8whQXtqOkZag0J2Nuo/4CyWkSPvksT4W3lu04LVTgQm2n9G5vX&#10;AwRVuJA4GM4y4f+DFS93m8i0bPmCMweWPtHN+y/f3n38/vUDrTefP7FFFmkM2FDtpdvEU4ZhEzPj&#10;fRdtfhMXti/CHs7Cqn1igjYfTh/PORN0MJ/W80dF9urn1RAxPVfeshy03GiXWUMDuxeYqB2V/ijJ&#10;28axseVP57OMCWSazkCi0Aaiga4vd9EbLa+0MfkGxn57aSLbQbZBeTIpwv2lLDdZAw7HunJ0NMig&#10;QD5zkqVDIIEcOZnnEaySnBlFxs8RAUKTQJu/qaTWxuULqpj0xDOrfNQ1R1svD0XuKmdkgDLxyazZ&#10;YXdziu/+Uqt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UVumNMAAAADAQAADwAAAAAAAAABACAA&#10;AAAiAAAAZHJzL2Rvd25yZXYueG1sUEsBAhQAFAAAAAgAh07iQLj7jWfZAQAAmgMAAA4AAAAAAAAA&#10;AQAgAAAAIgEAAGRycy9lMm9Eb2MueG1sUEsFBgAAAAAGAAYAWQEAAG0FAAAAAA==&#10;">
                      <v:fill on="f" focussize="0,0"/>
                      <v:stroke color="#000000" joinstyle="round"/>
                      <v:imagedata o:title=""/>
                      <o:lock v:ext="edit" aspectratio="f"/>
                    </v:line>
                  </w:pict>
                </mc:Fallback>
              </mc:AlternateContent>
            </w:r>
            <w:r>
              <w:rPr>
                <w:rFonts w:ascii="Times New Roman" w:hAnsi="Times New Roman"/>
                <w:color w:val="auto"/>
                <w:kern w:val="0"/>
                <w:szCs w:val="21"/>
                <w:highlight w:val="none"/>
              </w:rPr>
              <w:t>投标报价—基准价</w:t>
            </w:r>
          </w:p>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109855</wp:posOffset>
                      </wp:positionV>
                      <wp:extent cx="1143000" cy="0"/>
                      <wp:effectExtent l="0" t="0" r="0" b="0"/>
                      <wp:wrapNone/>
                      <wp:docPr id="7" name="直接连接符 7"/>
                      <wp:cNvGraphicFramePr/>
                      <a:graphic xmlns:a="http://schemas.openxmlformats.org/drawingml/2006/main">
                        <a:graphicData uri="http://schemas.microsoft.com/office/word/2010/wordprocessingShape">
                          <wps:wsp>
                            <wps:cNvCnPr/>
                            <wps:spPr>
                              <a:xfrm flipV="1">
                                <a:off x="0" y="0"/>
                                <a:ext cx="11430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0pt;margin-top:8.65pt;height:0pt;width:90pt;z-index:251655168;mso-width-relative:page;mso-height-relative:page;" filled="f" stroked="t" coordsize="21600,21600" o:gfxdata="UEsDBAoAAAAAAIdO4kAAAAAAAAAAAAAAAAAEAAAAZHJzL1BLAwQUAAAACACHTuJAwQ8VtdIAAAAG&#10;AQAADwAAAGRycy9kb3ducmV2LnhtbE2PwU7DMAyG70h7h8hI3FiyTYLRNZ0mBFyQJjEK57Tx2orE&#10;qZqsG28/TxzY0d9v/f6cr0/eiRGH2AXSMJsqEEh1sB01GsrP1/sliJgMWeMCoYZfjLAuJje5yWw4&#10;0geOu9QILqGYGQ1tSn0mZaxb9CZOQ4/E2T4M3iQeh0bawRy53Ds5V+pBetMRX2hNj88t1j+7g9ew&#10;+X5/WWzHygdnn5ryy/pSvc21vrudqRWIhKf0vwwXfVaHgp2qcCAbhdPAjySmjwsQl3SpGFR/QBa5&#10;vNYvzlBLAwQUAAAACACHTuJAM+nfFt4BAACiAwAADgAAAGRycy9lMm9Eb2MueG1srVNLjhMxEN0j&#10;cQfLe9KdwDDQSmcWE4YNgkh89hV/0pb8k8ukk0twASR2sGI5e27DcAzKTiYaYIMQvShVucqv6j1X&#10;zy92zrKtSmiC7/l00nKmvAjS+E3P3765evCEM8zgJdjgVc/3CvnF4v69+Rg7NQtDsFIlRiAeuzH2&#10;fMg5dk2DYlAOcBKi8pTUITnIFKZNIxOMhO5sM2vbx80YkowpCIVIp8tDki8qvtZK5Fdao8rM9pxm&#10;y9WmatfFNos5dJsEcTDiOAb8wxQOjKemJ6glZGDvk/kDyhmRAgadJyK4JmhthKociM20/Y3N6wGi&#10;qlxIHIwnmfD/wYqX21ViRvb8nDMPjp7o5uP19w+ff3z7RPbm6xd2XkQaI3ZUe+lX6RhhXKXCeKeT&#10;Y9qa+I7ev2pArNiuSrw/Sax2mQk6nE4fPWxbeglxm2sOEAUqJszPVXCsOD23xhf20MH2BWZqS6W3&#10;JeXYejb2/OnZ7IzggJZHW8jkukh00G/qXQzWyCtjbbmBabO+tIltoaxD/Qo5wv2lrDRZAg6Hupo6&#10;LMqgQD7zkuV9JKE8bTQvIzglObOKfoDiESB0GYz9m0pqbX25oOqyHnkWtQ/6Fm8d5L7K3pSIFqFO&#10;fFzasml3Y/Lv/lq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EPFbXSAAAABgEAAA8AAAAAAAAA&#10;AQAgAAAAIgAAAGRycy9kb3ducmV2LnhtbFBLAQIUABQAAAAIAIdO4kAz6d8W3gEAAKIDAAAOAAAA&#10;AAAAAAEAIAAAACEBAABkcnMvZTJvRG9jLnhtbFBLBQYAAAAABgAGAFkBAABxBQAAAAA=&#10;">
                      <v:fill on="f" focussize="0,0"/>
                      <v:stroke color="#000000" joinstyle="round"/>
                      <v:imagedata o:title=""/>
                      <o:lock v:ext="edit" aspectratio="f"/>
                    </v:line>
                  </w:pict>
                </mc:Fallback>
              </mc:AlternateContent>
            </w:r>
            <w:r>
              <w:rPr>
                <w:rFonts w:ascii="Times New Roman" w:hAnsi="Times New Roman"/>
                <w:color w:val="auto"/>
                <w:kern w:val="0"/>
                <w:szCs w:val="21"/>
                <w:highlight w:val="none"/>
              </w:rPr>
              <w:t xml:space="preserve">                  ×100%</w:t>
            </w:r>
          </w:p>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 xml:space="preserve">      基准价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72" w:hRule="atLeast"/>
        </w:trPr>
        <w:tc>
          <w:tcPr>
            <w:tcW w:w="390" w:type="dxa"/>
            <w:tcBorders>
              <w:top w:val="single" w:color="auto" w:sz="4"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3630" w:type="dxa"/>
            <w:gridSpan w:val="3"/>
            <w:tcBorders>
              <w:top w:val="single" w:color="auto" w:sz="4" w:space="0"/>
              <w:left w:val="single" w:color="auto" w:sz="4" w:space="0"/>
              <w:bottom w:val="single" w:color="auto" w:sz="4" w:space="0"/>
              <w:right w:val="single" w:color="auto" w:sz="4" w:space="0"/>
            </w:tcBorders>
            <w:vAlign w:val="center"/>
          </w:tcPr>
          <w:p>
            <w:pPr>
              <w:widowControl/>
              <w:spacing w:line="1000" w:lineRule="exact"/>
              <w:jc w:val="left"/>
              <w:rPr>
                <w:rFonts w:ascii="Times New Roman" w:hAnsi="Times New Roman"/>
                <w:color w:val="auto"/>
                <w:kern w:val="0"/>
                <w:szCs w:val="21"/>
                <w:highlight w:val="none"/>
              </w:rPr>
            </w:pPr>
            <w:r>
              <w:rPr>
                <w:rFonts w:ascii="Times New Roman" w:hAnsi="Times New Roman"/>
                <w:color w:val="auto"/>
                <w:kern w:val="0"/>
                <w:position w:val="18"/>
                <w:szCs w:val="21"/>
                <w:highlight w:val="none"/>
              </w:rPr>
              <w:t>-2%≤</w:t>
            </w:r>
            <w:r>
              <w:rPr>
                <w:rFonts w:ascii="Times New Roman" w:hAnsi="Times New Roman"/>
                <w:color w:val="auto"/>
                <w:kern w:val="0"/>
                <w:szCs w:val="21"/>
                <w:highlight w:val="none"/>
              </w:rPr>
              <w:t xml:space="preserve">   </w:t>
            </w:r>
            <w:r>
              <w:rPr>
                <w:rFonts w:ascii="Times New Roman" w:hAnsi="Times New Roman"/>
                <w:color w:val="auto"/>
                <w:kern w:val="0"/>
                <w:szCs w:val="21"/>
                <w:highlight w:val="none"/>
              </w:rPr>
              <w:drawing>
                <wp:inline distT="0" distB="0" distL="114300" distR="114300">
                  <wp:extent cx="1141095" cy="353695"/>
                  <wp:effectExtent l="0" t="0" r="1905" b="8255"/>
                  <wp:docPr id="8" name="图片 2" descr="计算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计算公式1"/>
                          <pic:cNvPicPr>
                            <a:picLocks noChangeAspect="1"/>
                          </pic:cNvPicPr>
                        </pic:nvPicPr>
                        <pic:blipFill>
                          <a:blip r:embed="rId19"/>
                          <a:stretch>
                            <a:fillRect/>
                          </a:stretch>
                        </pic:blipFill>
                        <pic:spPr>
                          <a:xfrm>
                            <a:off x="0" y="0"/>
                            <a:ext cx="1141095" cy="353695"/>
                          </a:xfrm>
                          <a:prstGeom prst="rect">
                            <a:avLst/>
                          </a:prstGeom>
                          <a:noFill/>
                          <a:ln w="9525">
                            <a:noFill/>
                          </a:ln>
                        </pic:spPr>
                      </pic:pic>
                    </a:graphicData>
                  </a:graphic>
                </wp:inline>
              </w:drawing>
            </w:r>
            <w:r>
              <w:rPr>
                <w:rFonts w:ascii="Times New Roman" w:hAnsi="Times New Roman"/>
                <w:color w:val="auto"/>
                <w:kern w:val="0"/>
                <w:szCs w:val="21"/>
                <w:highlight w:val="none"/>
              </w:rPr>
              <w:t xml:space="preserve"> </w:t>
            </w:r>
            <w:r>
              <w:rPr>
                <w:rFonts w:ascii="Times New Roman" w:hAnsi="Times New Roman"/>
                <w:color w:val="auto"/>
                <w:kern w:val="0"/>
                <w:position w:val="18"/>
                <w:szCs w:val="21"/>
                <w:highlight w:val="none"/>
              </w:rPr>
              <w:t>≤1%</w:t>
            </w:r>
          </w:p>
        </w:tc>
        <w:tc>
          <w:tcPr>
            <w:tcW w:w="2355"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100分</w:t>
            </w:r>
          </w:p>
        </w:tc>
        <w:tc>
          <w:tcPr>
            <w:tcW w:w="2880" w:type="dxa"/>
            <w:gridSpan w:val="3"/>
            <w:vMerge w:val="continue"/>
            <w:tcBorders>
              <w:top w:val="single" w:color="auto" w:sz="4" w:space="0"/>
              <w:left w:val="single" w:color="auto" w:sz="4" w:space="0"/>
              <w:bottom w:val="single" w:color="auto" w:sz="4"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60" w:hRule="atLeast"/>
        </w:trPr>
        <w:tc>
          <w:tcPr>
            <w:tcW w:w="390" w:type="dxa"/>
            <w:tcBorders>
              <w:top w:val="single" w:color="auto" w:sz="4"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3630" w:type="dxa"/>
            <w:gridSpan w:val="3"/>
            <w:tcBorders>
              <w:top w:val="single" w:color="auto" w:sz="4" w:space="0"/>
              <w:left w:val="single" w:color="auto" w:sz="4" w:space="0"/>
              <w:bottom w:val="single" w:color="auto" w:sz="4" w:space="0"/>
              <w:right w:val="single" w:color="auto" w:sz="4" w:space="0"/>
            </w:tcBorders>
            <w:vAlign w:val="center"/>
          </w:tcPr>
          <w:p>
            <w:pPr>
              <w:widowControl/>
              <w:spacing w:line="10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drawing>
                <wp:inline distT="0" distB="0" distL="114300" distR="114300">
                  <wp:extent cx="1141095" cy="353695"/>
                  <wp:effectExtent l="0" t="0" r="1905" b="8255"/>
                  <wp:docPr id="9" name="图片 3" descr="计算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计算公式1"/>
                          <pic:cNvPicPr>
                            <a:picLocks noChangeAspect="1"/>
                          </pic:cNvPicPr>
                        </pic:nvPicPr>
                        <pic:blipFill>
                          <a:blip r:embed="rId19"/>
                          <a:stretch>
                            <a:fillRect/>
                          </a:stretch>
                        </pic:blipFill>
                        <pic:spPr>
                          <a:xfrm>
                            <a:off x="0" y="0"/>
                            <a:ext cx="1141095" cy="353695"/>
                          </a:xfrm>
                          <a:prstGeom prst="rect">
                            <a:avLst/>
                          </a:prstGeom>
                          <a:noFill/>
                          <a:ln w="9525">
                            <a:noFill/>
                          </a:ln>
                        </pic:spPr>
                      </pic:pic>
                    </a:graphicData>
                  </a:graphic>
                </wp:inline>
              </w:drawing>
            </w:r>
            <w:r>
              <w:rPr>
                <w:rFonts w:ascii="Times New Roman" w:hAnsi="Times New Roman"/>
                <w:color w:val="auto"/>
                <w:kern w:val="0"/>
                <w:position w:val="18"/>
                <w:szCs w:val="21"/>
                <w:highlight w:val="none"/>
              </w:rPr>
              <w:t>×100% ＜-2%</w:t>
            </w:r>
          </w:p>
        </w:tc>
        <w:tc>
          <w:tcPr>
            <w:tcW w:w="2355"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从-2%开始每降1%减1分，即100-1*（100X-2）</w:t>
            </w:r>
          </w:p>
        </w:tc>
        <w:tc>
          <w:tcPr>
            <w:tcW w:w="2880" w:type="dxa"/>
            <w:gridSpan w:val="3"/>
            <w:vMerge w:val="continue"/>
            <w:tcBorders>
              <w:top w:val="single" w:color="auto" w:sz="4" w:space="0"/>
              <w:left w:val="single" w:color="auto" w:sz="4" w:space="0"/>
              <w:bottom w:val="single" w:color="auto" w:sz="4"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8" w:hRule="atLeast"/>
        </w:trPr>
        <w:tc>
          <w:tcPr>
            <w:tcW w:w="2637" w:type="dxa"/>
            <w:gridSpan w:val="3"/>
            <w:tcBorders>
              <w:top w:val="single" w:color="auto" w:sz="4" w:space="0"/>
              <w:left w:val="single" w:color="auto" w:sz="12"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投标人名称</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投标报价</w:t>
            </w:r>
          </w:p>
        </w:tc>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基准价</w:t>
            </w:r>
          </w:p>
        </w:tc>
        <w:tc>
          <w:tcPr>
            <w:tcW w:w="1668"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X值</w:t>
            </w:r>
          </w:p>
        </w:tc>
        <w:tc>
          <w:tcPr>
            <w:tcW w:w="1612"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投标报价得分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23" w:hRule="atLeast"/>
        </w:trPr>
        <w:tc>
          <w:tcPr>
            <w:tcW w:w="2637" w:type="dxa"/>
            <w:gridSpan w:val="3"/>
            <w:tcBorders>
              <w:top w:val="single" w:color="auto" w:sz="4" w:space="0"/>
              <w:left w:val="single" w:color="auto" w:sz="12"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95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668"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612"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23" w:hRule="atLeast"/>
        </w:trPr>
        <w:tc>
          <w:tcPr>
            <w:tcW w:w="2637" w:type="dxa"/>
            <w:gridSpan w:val="3"/>
            <w:tcBorders>
              <w:top w:val="single" w:color="auto" w:sz="4" w:space="0"/>
              <w:left w:val="single" w:color="auto" w:sz="12"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95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668"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612"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23" w:hRule="atLeast"/>
        </w:trPr>
        <w:tc>
          <w:tcPr>
            <w:tcW w:w="2637" w:type="dxa"/>
            <w:gridSpan w:val="3"/>
            <w:tcBorders>
              <w:top w:val="single" w:color="auto" w:sz="4" w:space="0"/>
              <w:left w:val="single" w:color="auto" w:sz="12"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95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668"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612"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23" w:hRule="atLeast"/>
        </w:trPr>
        <w:tc>
          <w:tcPr>
            <w:tcW w:w="2637" w:type="dxa"/>
            <w:gridSpan w:val="3"/>
            <w:tcBorders>
              <w:top w:val="single" w:color="auto" w:sz="4" w:space="0"/>
              <w:left w:val="single" w:color="auto" w:sz="12"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95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668"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olor w:val="auto"/>
                <w:kern w:val="0"/>
                <w:szCs w:val="21"/>
                <w:highlight w:val="none"/>
              </w:rPr>
            </w:pPr>
          </w:p>
        </w:tc>
        <w:tc>
          <w:tcPr>
            <w:tcW w:w="1612" w:type="dxa"/>
            <w:tcBorders>
              <w:top w:val="single" w:color="auto" w:sz="4" w:space="0"/>
              <w:left w:val="single" w:color="auto" w:sz="4" w:space="0"/>
              <w:bottom w:val="single" w:color="auto" w:sz="4"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trPr>
        <w:tc>
          <w:tcPr>
            <w:tcW w:w="9255" w:type="dxa"/>
            <w:gridSpan w:val="10"/>
            <w:tcBorders>
              <w:top w:val="single" w:color="auto" w:sz="4" w:space="0"/>
              <w:left w:val="single" w:color="auto" w:sz="12" w:space="0"/>
              <w:bottom w:val="single" w:color="auto" w:sz="12" w:space="0"/>
              <w:right w:val="single" w:color="auto" w:sz="12" w:space="0"/>
            </w:tcBorders>
            <w:vAlign w:val="center"/>
          </w:tcPr>
          <w:p>
            <w:pPr>
              <w:widowControl/>
              <w:spacing w:line="32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备注：</w:t>
            </w:r>
          </w:p>
          <w:p>
            <w:pPr>
              <w:widowControl/>
              <w:spacing w:line="320" w:lineRule="exact"/>
              <w:jc w:val="left"/>
              <w:rPr>
                <w:rFonts w:ascii="Times New Roman" w:hAnsi="Times New Roman"/>
                <w:color w:val="auto"/>
                <w:kern w:val="0"/>
                <w:szCs w:val="21"/>
                <w:highlight w:val="none"/>
              </w:rPr>
            </w:pPr>
          </w:p>
          <w:p>
            <w:pPr>
              <w:widowControl/>
              <w:spacing w:line="320" w:lineRule="exact"/>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653" w:type="dxa"/>
            <w:gridSpan w:val="2"/>
            <w:tcBorders>
              <w:top w:val="nil"/>
              <w:left w:val="nil"/>
              <w:bottom w:val="nil"/>
              <w:right w:val="nil"/>
            </w:tcBorders>
            <w:vAlign w:val="center"/>
          </w:tcPr>
          <w:p>
            <w:pPr>
              <w:widowControl/>
              <w:spacing w:line="360" w:lineRule="auto"/>
              <w:jc w:val="left"/>
              <w:rPr>
                <w:rFonts w:ascii="Times New Roman" w:hAnsi="Times New Roman"/>
                <w:color w:val="auto"/>
                <w:kern w:val="0"/>
                <w:szCs w:val="21"/>
                <w:highlight w:val="none"/>
              </w:rPr>
            </w:pPr>
          </w:p>
        </w:tc>
        <w:tc>
          <w:tcPr>
            <w:tcW w:w="1984" w:type="dxa"/>
            <w:tcBorders>
              <w:top w:val="nil"/>
              <w:left w:val="nil"/>
              <w:bottom w:val="nil"/>
              <w:right w:val="nil"/>
            </w:tcBorders>
            <w:vAlign w:val="center"/>
          </w:tcPr>
          <w:p>
            <w:pPr>
              <w:widowControl/>
              <w:spacing w:line="360" w:lineRule="auto"/>
              <w:jc w:val="left"/>
              <w:rPr>
                <w:rFonts w:ascii="Times New Roman" w:hAnsi="Times New Roman"/>
                <w:color w:val="auto"/>
                <w:kern w:val="0"/>
                <w:szCs w:val="21"/>
                <w:highlight w:val="none"/>
              </w:rPr>
            </w:pPr>
          </w:p>
        </w:tc>
        <w:tc>
          <w:tcPr>
            <w:tcW w:w="1443" w:type="dxa"/>
            <w:gridSpan w:val="2"/>
            <w:tcBorders>
              <w:top w:val="nil"/>
              <w:left w:val="nil"/>
              <w:bottom w:val="nil"/>
              <w:right w:val="nil"/>
            </w:tcBorders>
            <w:vAlign w:val="center"/>
          </w:tcPr>
          <w:p>
            <w:pPr>
              <w:widowControl/>
              <w:spacing w:line="360" w:lineRule="auto"/>
              <w:jc w:val="left"/>
              <w:rPr>
                <w:rFonts w:ascii="Times New Roman" w:hAnsi="Times New Roman"/>
                <w:color w:val="auto"/>
                <w:kern w:val="0"/>
                <w:szCs w:val="21"/>
                <w:highlight w:val="none"/>
              </w:rPr>
            </w:pPr>
          </w:p>
        </w:tc>
        <w:tc>
          <w:tcPr>
            <w:tcW w:w="1895" w:type="dxa"/>
            <w:tcBorders>
              <w:top w:val="nil"/>
              <w:left w:val="nil"/>
              <w:bottom w:val="nil"/>
              <w:right w:val="nil"/>
            </w:tcBorders>
            <w:vAlign w:val="center"/>
          </w:tcPr>
          <w:p>
            <w:pPr>
              <w:widowControl/>
              <w:spacing w:line="360" w:lineRule="auto"/>
              <w:jc w:val="left"/>
              <w:rPr>
                <w:rFonts w:ascii="Times New Roman" w:hAnsi="Times New Roman"/>
                <w:color w:val="auto"/>
                <w:kern w:val="0"/>
                <w:szCs w:val="21"/>
                <w:highlight w:val="none"/>
              </w:rPr>
            </w:pPr>
          </w:p>
        </w:tc>
        <w:tc>
          <w:tcPr>
            <w:tcW w:w="526" w:type="dxa"/>
            <w:gridSpan w:val="2"/>
            <w:tcBorders>
              <w:top w:val="nil"/>
              <w:left w:val="nil"/>
              <w:bottom w:val="nil"/>
              <w:right w:val="nil"/>
            </w:tcBorders>
            <w:vAlign w:val="center"/>
          </w:tcPr>
          <w:p>
            <w:pPr>
              <w:widowControl/>
              <w:spacing w:line="360" w:lineRule="auto"/>
              <w:jc w:val="left"/>
              <w:rPr>
                <w:rFonts w:ascii="Times New Roman" w:hAnsi="Times New Roman"/>
                <w:color w:val="auto"/>
                <w:kern w:val="0"/>
                <w:szCs w:val="21"/>
                <w:highlight w:val="none"/>
              </w:rPr>
            </w:pPr>
          </w:p>
        </w:tc>
        <w:tc>
          <w:tcPr>
            <w:tcW w:w="1142" w:type="dxa"/>
            <w:tcBorders>
              <w:top w:val="nil"/>
              <w:left w:val="nil"/>
              <w:bottom w:val="nil"/>
              <w:right w:val="nil"/>
            </w:tcBorders>
            <w:vAlign w:val="center"/>
          </w:tcPr>
          <w:p>
            <w:pPr>
              <w:widowControl/>
              <w:spacing w:line="360" w:lineRule="auto"/>
              <w:jc w:val="left"/>
              <w:rPr>
                <w:rFonts w:ascii="Times New Roman" w:hAnsi="Times New Roman"/>
                <w:color w:val="auto"/>
                <w:kern w:val="0"/>
                <w:szCs w:val="21"/>
                <w:highlight w:val="none"/>
              </w:rPr>
            </w:pPr>
          </w:p>
        </w:tc>
        <w:tc>
          <w:tcPr>
            <w:tcW w:w="1612" w:type="dxa"/>
            <w:tcBorders>
              <w:top w:val="nil"/>
              <w:left w:val="nil"/>
              <w:bottom w:val="nil"/>
              <w:right w:val="nil"/>
            </w:tcBorders>
            <w:vAlign w:val="center"/>
          </w:tcPr>
          <w:p>
            <w:pPr>
              <w:widowControl/>
              <w:spacing w:line="360" w:lineRule="auto"/>
              <w:jc w:val="left"/>
              <w:rPr>
                <w:rFonts w:ascii="Times New Roman" w:hAnsi="Times New Roman"/>
                <w:color w:val="auto"/>
                <w:kern w:val="0"/>
                <w:szCs w:val="21"/>
                <w:highlight w:val="none"/>
              </w:rPr>
            </w:pPr>
          </w:p>
        </w:tc>
      </w:tr>
    </w:tbl>
    <w:p>
      <w:pPr>
        <w:widowControl/>
        <w:shd w:val="clear" w:color="auto" w:fill="FFFFFF"/>
        <w:spacing w:line="460" w:lineRule="exact"/>
        <w:ind w:right="-332" w:rightChars="-158"/>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备注：1、投标报价得分，基本分100分。</w:t>
      </w:r>
    </w:p>
    <w:p>
      <w:pPr>
        <w:widowControl/>
        <w:shd w:val="clear" w:color="auto" w:fill="FFFFFF"/>
        <w:spacing w:line="460" w:lineRule="exact"/>
        <w:ind w:right="-332" w:rightChars="-158" w:firstLine="720" w:firstLineChars="300"/>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2、基准价公式：在投标报价上、下限值之间的合格投标人的投标报价进入基准价计算。</w:t>
      </w:r>
    </w:p>
    <w:p>
      <w:pPr>
        <w:widowControl/>
        <w:shd w:val="clear" w:color="auto" w:fill="FFFFFF"/>
        <w:spacing w:line="1000" w:lineRule="exact"/>
        <w:ind w:right="-332" w:rightChars="-158" w:firstLine="1080" w:firstLineChars="450"/>
        <w:jc w:val="left"/>
        <w:rPr>
          <w:rFonts w:ascii="Times New Roman" w:hAnsi="Times New Roman" w:eastAsia="楷体_GB2312"/>
          <w:color w:val="auto"/>
          <w:kern w:val="0"/>
          <w:sz w:val="24"/>
          <w:highlight w:val="none"/>
        </w:rPr>
      </w:pPr>
      <w:r>
        <w:rPr>
          <w:rFonts w:ascii="Times New Roman" w:hAnsi="Times New Roman" w:eastAsia="楷体_GB2312"/>
          <w:color w:val="auto"/>
          <w:kern w:val="0"/>
          <w:position w:val="20"/>
          <w:sz w:val="24"/>
          <w:highlight w:val="none"/>
        </w:rPr>
        <w:t>基准价=</w:t>
      </w:r>
      <w:r>
        <w:rPr>
          <w:rFonts w:ascii="Times New Roman" w:hAnsi="Times New Roman" w:eastAsia="楷体_GB2312"/>
          <w:color w:val="auto"/>
          <w:kern w:val="0"/>
          <w:sz w:val="24"/>
          <w:highlight w:val="none"/>
        </w:rPr>
        <w:t xml:space="preserve"> </w:t>
      </w:r>
      <w:r>
        <w:rPr>
          <w:rFonts w:ascii="Times New Roman" w:hAnsi="Times New Roman" w:eastAsia="楷体_GB2312"/>
          <w:color w:val="auto"/>
          <w:kern w:val="0"/>
          <w:sz w:val="24"/>
          <w:highlight w:val="none"/>
        </w:rPr>
        <w:drawing>
          <wp:inline distT="0" distB="0" distL="114300" distR="114300">
            <wp:extent cx="1983105" cy="408940"/>
            <wp:effectExtent l="0" t="0" r="17145" b="10160"/>
            <wp:docPr id="10" name="图片 4" descr="计算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计算公式2"/>
                    <pic:cNvPicPr>
                      <a:picLocks noChangeAspect="1"/>
                    </pic:cNvPicPr>
                  </pic:nvPicPr>
                  <pic:blipFill>
                    <a:blip r:embed="rId20"/>
                    <a:stretch>
                      <a:fillRect/>
                    </a:stretch>
                  </pic:blipFill>
                  <pic:spPr>
                    <a:xfrm>
                      <a:off x="0" y="0"/>
                      <a:ext cx="1983105" cy="408940"/>
                    </a:xfrm>
                    <a:prstGeom prst="rect">
                      <a:avLst/>
                    </a:prstGeom>
                    <a:noFill/>
                    <a:ln w="9525">
                      <a:noFill/>
                    </a:ln>
                  </pic:spPr>
                </pic:pic>
              </a:graphicData>
            </a:graphic>
          </wp:inline>
        </w:drawing>
      </w:r>
    </w:p>
    <w:p>
      <w:pPr>
        <w:widowControl/>
        <w:shd w:val="clear" w:color="auto" w:fill="FFFFFF"/>
        <w:spacing w:line="460" w:lineRule="exact"/>
        <w:ind w:left="710" w:leftChars="338" w:right="-332" w:rightChars="-158"/>
        <w:jc w:val="left"/>
        <w:rPr>
          <w:rFonts w:ascii="Times New Roman" w:hAnsi="Times New Roman" w:eastAsia="楷体_GB2312"/>
          <w:color w:val="auto"/>
          <w:kern w:val="0"/>
          <w:sz w:val="24"/>
          <w:highlight w:val="none"/>
        </w:rPr>
      </w:pPr>
      <w:r>
        <w:rPr>
          <w:rFonts w:ascii="Times New Roman" w:hAnsi="Times New Roman" w:eastAsia="楷体_GB2312"/>
          <w:color w:val="auto"/>
          <w:kern w:val="0"/>
          <w:sz w:val="24"/>
          <w:highlight w:val="none"/>
        </w:rPr>
        <w:t>i=1…i…n; Ai为进入基准价计算的投标报价; N为进入基准价计算的投标报价的个数。</w:t>
      </w:r>
    </w:p>
    <w:p>
      <w:pPr>
        <w:widowControl/>
        <w:shd w:val="clear" w:color="auto" w:fill="FFFFFF"/>
        <w:spacing w:line="460" w:lineRule="exact"/>
        <w:ind w:left="710" w:leftChars="338" w:right="-332" w:rightChars="-158"/>
        <w:jc w:val="left"/>
        <w:rPr>
          <w:rFonts w:ascii="Times New Roman" w:hAnsi="Times New Roman" w:eastAsia="楷体_GB2312"/>
          <w:color w:val="auto"/>
          <w:kern w:val="0"/>
          <w:sz w:val="24"/>
          <w:highlight w:val="none"/>
        </w:rPr>
      </w:pPr>
    </w:p>
    <w:p>
      <w:pPr>
        <w:widowControl/>
        <w:shd w:val="clear" w:color="auto" w:fill="FFFFFF"/>
        <w:spacing w:line="460" w:lineRule="exact"/>
        <w:ind w:right="-332" w:rightChars="-158" w:firstLine="720" w:firstLineChars="300"/>
        <w:jc w:val="left"/>
        <w:rPr>
          <w:rFonts w:ascii="Times New Roman" w:hAnsi="Times New Roman"/>
          <w:color w:val="auto"/>
          <w:kern w:val="0"/>
          <w:sz w:val="24"/>
          <w:highlight w:val="none"/>
        </w:rPr>
      </w:pPr>
      <w:r>
        <w:rPr>
          <w:rFonts w:ascii="Times New Roman" w:hAnsi="Times New Roman" w:eastAsia="楷体_GB2312"/>
          <w:color w:val="auto"/>
          <w:kern w:val="0"/>
          <w:sz w:val="24"/>
          <w:highlight w:val="none"/>
        </w:rPr>
        <w:t>3、计算保留至小数点后2位（百分比亦然），小数点后第3位采取4舍5入</w:t>
      </w:r>
      <w:r>
        <w:rPr>
          <w:rFonts w:ascii="Times New Roman" w:hAnsi="Times New Roman"/>
          <w:color w:val="auto"/>
          <w:kern w:val="0"/>
          <w:sz w:val="24"/>
          <w:highlight w:val="none"/>
        </w:rPr>
        <w:t>。</w:t>
      </w:r>
    </w:p>
    <w:p>
      <w:pPr>
        <w:widowControl/>
        <w:shd w:val="clear" w:color="auto" w:fill="FFFFFF"/>
        <w:spacing w:after="72" w:afterLines="30" w:line="340" w:lineRule="exact"/>
        <w:jc w:val="left"/>
        <w:rPr>
          <w:rFonts w:ascii="Times New Roman" w:hAnsi="Times New Roman"/>
          <w:color w:val="auto"/>
          <w:kern w:val="0"/>
          <w:sz w:val="24"/>
          <w:highlight w:val="none"/>
        </w:rPr>
      </w:pPr>
    </w:p>
    <w:p>
      <w:pPr>
        <w:widowControl/>
        <w:shd w:val="clear" w:color="auto" w:fill="FFFFFF"/>
        <w:spacing w:after="72" w:afterLines="30" w:line="340" w:lineRule="exact"/>
        <w:jc w:val="left"/>
        <w:rPr>
          <w:rFonts w:ascii="Times New Roman" w:hAnsi="Times New Roman"/>
          <w:color w:val="auto"/>
          <w:kern w:val="0"/>
          <w:sz w:val="24"/>
          <w:highlight w:val="none"/>
        </w:rPr>
      </w:pPr>
      <w:r>
        <w:rPr>
          <w:rFonts w:ascii="Times New Roman" w:hAnsi="Times New Roman"/>
          <w:color w:val="auto"/>
          <w:kern w:val="0"/>
          <w:sz w:val="24"/>
          <w:highlight w:val="none"/>
        </w:rPr>
        <w:t>评标委员会全体成员签字/日期：</w:t>
      </w:r>
    </w:p>
    <w:p>
      <w:pPr>
        <w:widowControl/>
        <w:shd w:val="clear" w:color="auto" w:fill="FFFFFF"/>
        <w:spacing w:line="340" w:lineRule="exact"/>
        <w:jc w:val="left"/>
        <w:rPr>
          <w:rFonts w:ascii="Times New Roman" w:hAnsi="Times New Roman"/>
          <w:b/>
          <w:color w:val="auto"/>
          <w:kern w:val="0"/>
          <w:sz w:val="24"/>
          <w:highlight w:val="none"/>
        </w:rPr>
      </w:pPr>
      <w:r>
        <w:rPr>
          <w:rFonts w:ascii="Times New Roman" w:hAnsi="Times New Roman"/>
          <w:color w:val="auto"/>
          <w:sz w:val="20"/>
          <w:szCs w:val="22"/>
          <w:highlight w:val="none"/>
        </w:rPr>
        <w:br w:type="page"/>
      </w:r>
      <w:r>
        <w:rPr>
          <w:rFonts w:ascii="Times New Roman" w:hAnsi="Times New Roman"/>
          <w:b/>
          <w:color w:val="auto"/>
          <w:kern w:val="0"/>
          <w:sz w:val="24"/>
          <w:highlight w:val="none"/>
        </w:rPr>
        <w:t xml:space="preserve">附表14  </w:t>
      </w:r>
    </w:p>
    <w:p>
      <w:pPr>
        <w:widowControl/>
        <w:shd w:val="clear" w:color="auto" w:fill="FFFFFF"/>
        <w:spacing w:line="480" w:lineRule="auto"/>
        <w:jc w:val="center"/>
        <w:rPr>
          <w:rFonts w:ascii="Times New Roman" w:hAnsi="Times New Roman"/>
          <w:color w:val="auto"/>
          <w:kern w:val="0"/>
          <w:sz w:val="22"/>
          <w:szCs w:val="20"/>
          <w:highlight w:val="none"/>
        </w:rPr>
      </w:pPr>
      <w:r>
        <w:rPr>
          <w:rFonts w:ascii="Times New Roman" w:hAnsi="Times New Roman"/>
          <w:b/>
          <w:color w:val="auto"/>
          <w:kern w:val="0"/>
          <w:sz w:val="28"/>
          <w:szCs w:val="28"/>
          <w:highlight w:val="none"/>
        </w:rPr>
        <w:t>综合得分计算表</w:t>
      </w:r>
      <w:r>
        <w:rPr>
          <w:rFonts w:ascii="Times New Roman" w:hAnsi="Times New Roman"/>
          <w:b/>
          <w:color w:val="auto"/>
          <w:kern w:val="0"/>
          <w:sz w:val="24"/>
          <w:highlight w:val="none"/>
        </w:rPr>
        <w:t xml:space="preserve">              </w:t>
      </w:r>
      <w:r>
        <w:rPr>
          <w:rFonts w:ascii="Times New Roman" w:hAnsi="Times New Roman"/>
          <w:color w:val="auto"/>
          <w:kern w:val="0"/>
          <w:sz w:val="22"/>
          <w:szCs w:val="20"/>
          <w:highlight w:val="none"/>
        </w:rPr>
        <w:t xml:space="preserve">                                   </w:t>
      </w:r>
    </w:p>
    <w:tbl>
      <w:tblPr>
        <w:tblStyle w:val="18"/>
        <w:tblW w:w="917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52"/>
        <w:gridCol w:w="2018"/>
        <w:gridCol w:w="1468"/>
        <w:gridCol w:w="1468"/>
        <w:gridCol w:w="14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48" w:hRule="atLeast"/>
        </w:trPr>
        <w:tc>
          <w:tcPr>
            <w:tcW w:w="9174" w:type="dxa"/>
            <w:gridSpan w:val="5"/>
            <w:tcBorders>
              <w:top w:val="single" w:color="auto" w:sz="12" w:space="0"/>
              <w:left w:val="single" w:color="auto" w:sz="12" w:space="0"/>
              <w:bottom w:val="single" w:color="auto" w:sz="4" w:space="0"/>
              <w:right w:val="single" w:color="auto" w:sz="12" w:space="0"/>
            </w:tcBorders>
            <w:vAlign w:val="center"/>
          </w:tcPr>
          <w:p>
            <w:pPr>
              <w:widowControl/>
              <w:spacing w:line="480" w:lineRule="auto"/>
              <w:jc w:val="left"/>
              <w:rPr>
                <w:rFonts w:ascii="Times New Roman" w:hAnsi="Times New Roman"/>
                <w:color w:val="auto"/>
                <w:kern w:val="0"/>
                <w:szCs w:val="21"/>
                <w:highlight w:val="none"/>
              </w:rPr>
            </w:pPr>
            <w:r>
              <w:rPr>
                <w:rFonts w:ascii="Times New Roman" w:hAnsi="Times New Roman"/>
                <w:color w:val="auto"/>
                <w:kern w:val="0"/>
                <w:szCs w:val="21"/>
                <w:highlight w:val="none"/>
              </w:rPr>
              <w:t>投标人（                               ）                         总分（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48" w:hRule="atLeast"/>
        </w:trPr>
        <w:tc>
          <w:tcPr>
            <w:tcW w:w="2752" w:type="dxa"/>
            <w:vMerge w:val="restart"/>
            <w:tcBorders>
              <w:top w:val="single" w:color="auto" w:sz="4" w:space="0"/>
              <w:left w:val="single" w:color="auto" w:sz="12" w:space="0"/>
              <w:bottom w:val="single" w:color="auto" w:sz="4" w:space="0"/>
              <w:right w:val="single" w:color="auto" w:sz="4" w:space="0"/>
            </w:tcBorders>
            <w:vAlign w:val="center"/>
          </w:tcPr>
          <w:p>
            <w:pPr>
              <w:widowControl/>
              <w:spacing w:line="480" w:lineRule="auto"/>
              <w:ind w:firstLine="240"/>
              <w:jc w:val="center"/>
              <w:rPr>
                <w:rFonts w:ascii="Times New Roman" w:hAnsi="Times New Roman"/>
                <w:color w:val="auto"/>
                <w:kern w:val="0"/>
                <w:szCs w:val="21"/>
                <w:highlight w:val="none"/>
              </w:rPr>
            </w:pPr>
            <w:r>
              <w:rPr>
                <w:rFonts w:ascii="Times New Roman" w:hAnsi="Times New Roman"/>
                <w:color w:val="auto"/>
                <w:kern w:val="0"/>
                <w:szCs w:val="21"/>
                <w:highlight w:val="none"/>
              </w:rPr>
              <w:t>评委编号</w:t>
            </w:r>
          </w:p>
        </w:tc>
        <w:tc>
          <w:tcPr>
            <w:tcW w:w="6422" w:type="dxa"/>
            <w:gridSpan w:val="4"/>
            <w:tcBorders>
              <w:top w:val="single" w:color="auto" w:sz="4" w:space="0"/>
              <w:left w:val="single" w:color="auto"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单   项   评   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48" w:hRule="atLeast"/>
        </w:trPr>
        <w:tc>
          <w:tcPr>
            <w:tcW w:w="2752"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color w:val="auto"/>
                <w:kern w:val="0"/>
                <w:szCs w:val="21"/>
                <w:highlight w:val="none"/>
              </w:rPr>
            </w:pPr>
          </w:p>
        </w:tc>
        <w:tc>
          <w:tcPr>
            <w:tcW w:w="201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监理大纲</w:t>
            </w: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现场监理</w:t>
            </w:r>
          </w:p>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部机构</w:t>
            </w: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信誉</w:t>
            </w:r>
          </w:p>
        </w:tc>
        <w:tc>
          <w:tcPr>
            <w:tcW w:w="1468" w:type="dxa"/>
            <w:tcBorders>
              <w:top w:val="single" w:color="auto" w:sz="4" w:space="0"/>
              <w:left w:val="single" w:color="auto"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8" w:hRule="atLeast"/>
        </w:trPr>
        <w:tc>
          <w:tcPr>
            <w:tcW w:w="2752"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1</w:t>
            </w:r>
          </w:p>
        </w:tc>
        <w:tc>
          <w:tcPr>
            <w:tcW w:w="201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vMerge w:val="restart"/>
            <w:tcBorders>
              <w:top w:val="single" w:color="auto" w:sz="4" w:space="0"/>
              <w:left w:val="single" w:color="auto"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5" w:hRule="atLeast"/>
        </w:trPr>
        <w:tc>
          <w:tcPr>
            <w:tcW w:w="2752"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2</w:t>
            </w:r>
          </w:p>
        </w:tc>
        <w:tc>
          <w:tcPr>
            <w:tcW w:w="201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kern w:val="0"/>
                <w:szCs w:val="21"/>
                <w:highlight w:val="none"/>
              </w:rPr>
            </w:pPr>
          </w:p>
        </w:tc>
        <w:tc>
          <w:tcPr>
            <w:tcW w:w="1468"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20" w:hRule="atLeast"/>
        </w:trPr>
        <w:tc>
          <w:tcPr>
            <w:tcW w:w="2752"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3</w:t>
            </w:r>
          </w:p>
        </w:tc>
        <w:tc>
          <w:tcPr>
            <w:tcW w:w="201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kern w:val="0"/>
                <w:szCs w:val="21"/>
                <w:highlight w:val="none"/>
              </w:rPr>
            </w:pPr>
          </w:p>
        </w:tc>
        <w:tc>
          <w:tcPr>
            <w:tcW w:w="1468"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5" w:hRule="atLeast"/>
        </w:trPr>
        <w:tc>
          <w:tcPr>
            <w:tcW w:w="2752"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201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kern w:val="0"/>
                <w:szCs w:val="21"/>
                <w:highlight w:val="none"/>
              </w:rPr>
            </w:pPr>
          </w:p>
        </w:tc>
        <w:tc>
          <w:tcPr>
            <w:tcW w:w="1468"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5" w:hRule="atLeast"/>
        </w:trPr>
        <w:tc>
          <w:tcPr>
            <w:tcW w:w="2752"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5</w:t>
            </w:r>
          </w:p>
        </w:tc>
        <w:tc>
          <w:tcPr>
            <w:tcW w:w="201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kern w:val="0"/>
                <w:szCs w:val="21"/>
                <w:highlight w:val="none"/>
              </w:rPr>
            </w:pPr>
          </w:p>
        </w:tc>
        <w:tc>
          <w:tcPr>
            <w:tcW w:w="1468"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90" w:hRule="atLeast"/>
        </w:trPr>
        <w:tc>
          <w:tcPr>
            <w:tcW w:w="2752"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201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kern w:val="0"/>
                <w:szCs w:val="21"/>
                <w:highlight w:val="none"/>
              </w:rPr>
            </w:pPr>
          </w:p>
        </w:tc>
        <w:tc>
          <w:tcPr>
            <w:tcW w:w="1468"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20" w:hRule="atLeast"/>
        </w:trPr>
        <w:tc>
          <w:tcPr>
            <w:tcW w:w="2752"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单项得分Pi</w:t>
            </w:r>
          </w:p>
        </w:tc>
        <w:tc>
          <w:tcPr>
            <w:tcW w:w="201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12" w:space="0"/>
            </w:tcBorders>
            <w:vAlign w:val="center"/>
          </w:tcPr>
          <w:p>
            <w:pPr>
              <w:widowControl/>
              <w:spacing w:line="480" w:lineRule="auto"/>
              <w:ind w:firstLine="720"/>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5" w:hRule="atLeast"/>
        </w:trPr>
        <w:tc>
          <w:tcPr>
            <w:tcW w:w="2752" w:type="dxa"/>
            <w:tcBorders>
              <w:top w:val="single" w:color="auto" w:sz="4" w:space="0"/>
              <w:left w:val="single" w:color="auto"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vertAlign w:val="subscript"/>
              </w:rPr>
            </w:pPr>
            <w:r>
              <w:rPr>
                <w:rFonts w:ascii="Times New Roman" w:hAnsi="Times New Roman"/>
                <w:color w:val="auto"/>
                <w:kern w:val="0"/>
                <w:szCs w:val="21"/>
                <w:highlight w:val="none"/>
              </w:rPr>
              <w:t>权数K</w:t>
            </w:r>
            <w:r>
              <w:rPr>
                <w:rFonts w:ascii="Times New Roman" w:hAnsi="Times New Roman"/>
                <w:color w:val="auto"/>
                <w:kern w:val="0"/>
                <w:szCs w:val="21"/>
                <w:highlight w:val="none"/>
                <w:vertAlign w:val="subscript"/>
              </w:rPr>
              <w:t>i</w:t>
            </w:r>
          </w:p>
        </w:tc>
        <w:tc>
          <w:tcPr>
            <w:tcW w:w="201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4" w:space="0"/>
              <w:right w:val="single" w:color="auto" w:sz="12" w:space="0"/>
            </w:tcBorders>
            <w:vAlign w:val="center"/>
          </w:tcPr>
          <w:p>
            <w:pPr>
              <w:widowControl/>
              <w:spacing w:line="480" w:lineRule="auto"/>
              <w:ind w:firstLine="720"/>
              <w:jc w:val="left"/>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8" w:hRule="atLeast"/>
        </w:trPr>
        <w:tc>
          <w:tcPr>
            <w:tcW w:w="2752" w:type="dxa"/>
            <w:tcBorders>
              <w:top w:val="single" w:color="auto" w:sz="4" w:space="0"/>
              <w:left w:val="single" w:color="auto" w:sz="12" w:space="0"/>
              <w:bottom w:val="single" w:color="auto" w:sz="12"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Ki Pi</w:t>
            </w:r>
          </w:p>
        </w:tc>
        <w:tc>
          <w:tcPr>
            <w:tcW w:w="2018" w:type="dxa"/>
            <w:tcBorders>
              <w:top w:val="single" w:color="auto" w:sz="4" w:space="0"/>
              <w:left w:val="single" w:color="auto" w:sz="4" w:space="0"/>
              <w:bottom w:val="single" w:color="auto" w:sz="12"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12"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12"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p>
        </w:tc>
        <w:tc>
          <w:tcPr>
            <w:tcW w:w="1468" w:type="dxa"/>
            <w:tcBorders>
              <w:top w:val="single" w:color="auto" w:sz="4" w:space="0"/>
              <w:left w:val="single" w:color="auto" w:sz="4" w:space="0"/>
              <w:bottom w:val="single" w:color="auto" w:sz="12"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p>
        </w:tc>
      </w:tr>
    </w:tbl>
    <w:p>
      <w:pPr>
        <w:widowControl/>
        <w:shd w:val="clear" w:color="auto" w:fill="FFFFFF"/>
        <w:spacing w:line="240" w:lineRule="exact"/>
        <w:jc w:val="left"/>
        <w:rPr>
          <w:rFonts w:ascii="Times New Roman" w:hAnsi="Times New Roman" w:eastAsia="楷体_GB2312"/>
          <w:color w:val="auto"/>
          <w:kern w:val="0"/>
          <w:sz w:val="24"/>
          <w:highlight w:val="none"/>
        </w:rPr>
      </w:pPr>
    </w:p>
    <w:p>
      <w:pPr>
        <w:widowControl/>
        <w:shd w:val="clear" w:color="auto" w:fill="FFFFFF"/>
        <w:jc w:val="left"/>
        <w:rPr>
          <w:rFonts w:ascii="Times New Roman" w:hAnsi="Times New Roman" w:eastAsia="楷体_GB2312"/>
          <w:color w:val="auto"/>
          <w:kern w:val="0"/>
          <w:sz w:val="22"/>
          <w:szCs w:val="22"/>
          <w:highlight w:val="none"/>
        </w:rPr>
      </w:pPr>
      <w:r>
        <w:rPr>
          <w:rFonts w:ascii="Times New Roman" w:hAnsi="Times New Roman" w:eastAsia="楷体_GB2312"/>
          <w:color w:val="auto"/>
          <w:kern w:val="0"/>
          <w:sz w:val="22"/>
          <w:szCs w:val="22"/>
          <w:highlight w:val="none"/>
        </w:rPr>
        <w:t>备注：1、综合得分计算保留2位小数（百分比亦取2位小数），第三位小数四舍五入。</w:t>
      </w:r>
    </w:p>
    <w:p>
      <w:pPr>
        <w:widowControl/>
        <w:shd w:val="clear" w:color="auto" w:fill="FFFFFF"/>
        <w:ind w:firstLine="660" w:firstLineChars="300"/>
        <w:jc w:val="left"/>
        <w:rPr>
          <w:rFonts w:ascii="Times New Roman" w:hAnsi="Times New Roman" w:eastAsia="楷体_GB2312"/>
          <w:color w:val="auto"/>
          <w:kern w:val="0"/>
          <w:sz w:val="22"/>
          <w:szCs w:val="22"/>
          <w:highlight w:val="none"/>
        </w:rPr>
      </w:pPr>
      <w:r>
        <w:rPr>
          <w:rFonts w:ascii="Times New Roman" w:hAnsi="Times New Roman" w:eastAsia="楷体_GB2312"/>
          <w:color w:val="auto"/>
          <w:kern w:val="0"/>
          <w:sz w:val="22"/>
          <w:szCs w:val="22"/>
          <w:highlight w:val="none"/>
        </w:rPr>
        <w:t>2、监理大纲单项得分为对评标委员会成员个人评审计分去掉一个最高分和一个最低分后的算术平均值。</w:t>
      </w:r>
    </w:p>
    <w:p>
      <w:pPr>
        <w:widowControl/>
        <w:shd w:val="clear" w:color="auto" w:fill="FFFFFF"/>
        <w:ind w:firstLine="660" w:firstLineChars="300"/>
        <w:jc w:val="left"/>
        <w:rPr>
          <w:rFonts w:ascii="Times New Roman" w:hAnsi="Times New Roman" w:eastAsia="楷体_GB2312"/>
          <w:color w:val="auto"/>
          <w:kern w:val="0"/>
          <w:sz w:val="22"/>
          <w:szCs w:val="22"/>
          <w:highlight w:val="none"/>
        </w:rPr>
      </w:pPr>
      <w:r>
        <w:rPr>
          <w:rFonts w:ascii="Times New Roman" w:hAnsi="Times New Roman" w:eastAsia="楷体_GB2312"/>
          <w:color w:val="auto"/>
          <w:kern w:val="0"/>
          <w:sz w:val="22"/>
          <w:szCs w:val="22"/>
          <w:highlight w:val="none"/>
        </w:rPr>
        <w:t>3、投标人综合得分为监理大纲、现场监理部机构、信誉及投标报价的单项得分乘以相应的权数取值（附表9）之和。</w:t>
      </w:r>
    </w:p>
    <w:p>
      <w:pPr>
        <w:widowControl/>
        <w:shd w:val="clear" w:color="auto" w:fill="FFFFFF"/>
        <w:ind w:firstLine="660" w:firstLineChars="300"/>
        <w:jc w:val="left"/>
        <w:rPr>
          <w:rFonts w:ascii="Times New Roman" w:hAnsi="Times New Roman" w:eastAsia="楷体_GB2312"/>
          <w:color w:val="auto"/>
          <w:kern w:val="0"/>
          <w:sz w:val="22"/>
          <w:szCs w:val="22"/>
          <w:highlight w:val="none"/>
        </w:rPr>
      </w:pPr>
      <w:r>
        <w:rPr>
          <w:rFonts w:ascii="Times New Roman" w:hAnsi="Times New Roman" w:eastAsia="楷体_GB2312"/>
          <w:color w:val="auto"/>
          <w:kern w:val="0"/>
          <w:sz w:val="22"/>
          <w:szCs w:val="22"/>
          <w:highlight w:val="none"/>
        </w:rPr>
        <w:t>4、投标人的投标报价单项得分计算和综合得分计算可以委托招标人的工作人员实施，但其计算结果应当交由评标委员会签字确认。</w:t>
      </w:r>
    </w:p>
    <w:p>
      <w:pPr>
        <w:widowControl/>
        <w:shd w:val="clear" w:color="auto" w:fill="FFFFFF"/>
        <w:spacing w:after="72" w:afterLines="30"/>
        <w:jc w:val="left"/>
        <w:rPr>
          <w:rFonts w:ascii="Times New Roman" w:hAnsi="Times New Roman"/>
          <w:color w:val="auto"/>
          <w:kern w:val="0"/>
          <w:sz w:val="24"/>
          <w:highlight w:val="none"/>
        </w:rPr>
      </w:pPr>
    </w:p>
    <w:p>
      <w:pPr>
        <w:widowControl/>
        <w:shd w:val="clear" w:color="auto" w:fill="FFFFFF"/>
        <w:spacing w:after="72" w:afterLines="30"/>
        <w:jc w:val="left"/>
        <w:rPr>
          <w:rFonts w:ascii="Times New Roman" w:hAnsi="Times New Roman"/>
          <w:color w:val="auto"/>
          <w:kern w:val="0"/>
          <w:sz w:val="24"/>
          <w:highlight w:val="none"/>
        </w:rPr>
      </w:pPr>
      <w:r>
        <w:rPr>
          <w:rFonts w:ascii="Times New Roman" w:hAnsi="Times New Roman"/>
          <w:color w:val="auto"/>
          <w:kern w:val="0"/>
          <w:sz w:val="24"/>
          <w:highlight w:val="none"/>
        </w:rPr>
        <w:t>评标委员会全体成员签字/日期：</w:t>
      </w:r>
    </w:p>
    <w:p>
      <w:pPr>
        <w:widowControl/>
        <w:shd w:val="clear" w:color="auto" w:fill="FFFFFF"/>
        <w:spacing w:line="400" w:lineRule="exact"/>
        <w:jc w:val="left"/>
        <w:rPr>
          <w:rFonts w:ascii="Times New Roman" w:hAnsi="Times New Roman"/>
          <w:b/>
          <w:color w:val="auto"/>
          <w:kern w:val="0"/>
          <w:sz w:val="24"/>
          <w:highlight w:val="none"/>
        </w:rPr>
      </w:pPr>
      <w:r>
        <w:rPr>
          <w:rFonts w:ascii="Times New Roman" w:hAnsi="Times New Roman"/>
          <w:color w:val="auto"/>
          <w:sz w:val="20"/>
          <w:szCs w:val="22"/>
          <w:highlight w:val="none"/>
        </w:rPr>
        <w:br w:type="page"/>
      </w:r>
      <w:r>
        <w:rPr>
          <w:rFonts w:ascii="Times New Roman" w:hAnsi="Times New Roman"/>
          <w:b/>
          <w:color w:val="auto"/>
          <w:kern w:val="0"/>
          <w:sz w:val="24"/>
          <w:highlight w:val="none"/>
        </w:rPr>
        <w:t>附表15</w:t>
      </w:r>
    </w:p>
    <w:p>
      <w:pPr>
        <w:widowControl/>
        <w:shd w:val="clear" w:color="auto" w:fill="FFFFFF"/>
        <w:spacing w:line="400" w:lineRule="exact"/>
        <w:jc w:val="center"/>
        <w:rPr>
          <w:rFonts w:ascii="Times New Roman" w:hAnsi="Times New Roman"/>
          <w:b/>
          <w:color w:val="auto"/>
          <w:kern w:val="0"/>
          <w:sz w:val="28"/>
          <w:szCs w:val="28"/>
          <w:highlight w:val="none"/>
        </w:rPr>
      </w:pPr>
      <w:r>
        <w:rPr>
          <w:rFonts w:ascii="Times New Roman" w:hAnsi="Times New Roman"/>
          <w:b/>
          <w:color w:val="auto"/>
          <w:kern w:val="0"/>
          <w:sz w:val="28"/>
          <w:szCs w:val="28"/>
          <w:highlight w:val="none"/>
        </w:rPr>
        <w:t>经评审后的投标人排序表</w:t>
      </w:r>
    </w:p>
    <w:tbl>
      <w:tblPr>
        <w:tblStyle w:val="18"/>
        <w:tblpPr w:leftFromText="180" w:rightFromText="180" w:vertAnchor="text" w:horzAnchor="margin" w:tblpX="161" w:tblpY="437"/>
        <w:tblW w:w="92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75"/>
        <w:gridCol w:w="5347"/>
        <w:gridCol w:w="20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1875" w:type="dxa"/>
            <w:tcBorders>
              <w:top w:val="single" w:color="000000" w:sz="12" w:space="0"/>
              <w:left w:val="single" w:color="000000" w:sz="12"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排  序</w:t>
            </w:r>
          </w:p>
        </w:tc>
        <w:tc>
          <w:tcPr>
            <w:tcW w:w="5347" w:type="dxa"/>
            <w:tcBorders>
              <w:top w:val="single" w:color="000000" w:sz="12" w:space="0"/>
              <w:left w:val="single" w:color="auto" w:sz="4"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投标人</w:t>
            </w:r>
          </w:p>
        </w:tc>
        <w:tc>
          <w:tcPr>
            <w:tcW w:w="2033" w:type="dxa"/>
            <w:tcBorders>
              <w:top w:val="single" w:color="000000" w:sz="12" w:space="0"/>
              <w:left w:val="single" w:color="auto" w:sz="4" w:space="0"/>
              <w:bottom w:val="single" w:color="auto" w:sz="4"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综合得分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1875" w:type="dxa"/>
            <w:tcBorders>
              <w:top w:val="single" w:color="auto" w:sz="4" w:space="0"/>
              <w:left w:val="single" w:color="000000" w:sz="12"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第一名</w:t>
            </w:r>
          </w:p>
        </w:tc>
        <w:tc>
          <w:tcPr>
            <w:tcW w:w="5347" w:type="dxa"/>
            <w:tcBorders>
              <w:top w:val="single" w:color="auto" w:sz="4" w:space="0"/>
              <w:left w:val="single" w:color="auto" w:sz="4"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p>
        </w:tc>
        <w:tc>
          <w:tcPr>
            <w:tcW w:w="2033" w:type="dxa"/>
            <w:tcBorders>
              <w:top w:val="single" w:color="auto" w:sz="4" w:space="0"/>
              <w:left w:val="single" w:color="auto" w:sz="4" w:space="0"/>
              <w:bottom w:val="single" w:color="auto" w:sz="4"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1875" w:type="dxa"/>
            <w:tcBorders>
              <w:top w:val="single" w:color="auto" w:sz="4" w:space="0"/>
              <w:left w:val="single" w:color="000000" w:sz="12"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第二名</w:t>
            </w:r>
          </w:p>
        </w:tc>
        <w:tc>
          <w:tcPr>
            <w:tcW w:w="5347" w:type="dxa"/>
            <w:tcBorders>
              <w:top w:val="single" w:color="auto" w:sz="4" w:space="0"/>
              <w:left w:val="single" w:color="auto" w:sz="4"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p>
        </w:tc>
        <w:tc>
          <w:tcPr>
            <w:tcW w:w="2033" w:type="dxa"/>
            <w:tcBorders>
              <w:top w:val="single" w:color="auto" w:sz="4" w:space="0"/>
              <w:left w:val="single" w:color="auto" w:sz="4" w:space="0"/>
              <w:bottom w:val="single" w:color="auto" w:sz="4"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1875" w:type="dxa"/>
            <w:tcBorders>
              <w:top w:val="single" w:color="auto" w:sz="4" w:space="0"/>
              <w:left w:val="single" w:color="000000" w:sz="12"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第三名</w:t>
            </w:r>
          </w:p>
        </w:tc>
        <w:tc>
          <w:tcPr>
            <w:tcW w:w="5347" w:type="dxa"/>
            <w:tcBorders>
              <w:top w:val="single" w:color="auto" w:sz="4" w:space="0"/>
              <w:left w:val="single" w:color="auto" w:sz="4"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p>
        </w:tc>
        <w:tc>
          <w:tcPr>
            <w:tcW w:w="2033" w:type="dxa"/>
            <w:tcBorders>
              <w:top w:val="single" w:color="auto" w:sz="4" w:space="0"/>
              <w:left w:val="single" w:color="auto" w:sz="4" w:space="0"/>
              <w:bottom w:val="single" w:color="auto" w:sz="4"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1875" w:type="dxa"/>
            <w:tcBorders>
              <w:top w:val="single" w:color="auto" w:sz="4" w:space="0"/>
              <w:left w:val="single" w:color="000000" w:sz="12"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第四名</w:t>
            </w:r>
          </w:p>
        </w:tc>
        <w:tc>
          <w:tcPr>
            <w:tcW w:w="5347" w:type="dxa"/>
            <w:tcBorders>
              <w:top w:val="single" w:color="auto" w:sz="4" w:space="0"/>
              <w:left w:val="single" w:color="auto" w:sz="4" w:space="0"/>
              <w:bottom w:val="single" w:color="auto" w:sz="4"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p>
        </w:tc>
        <w:tc>
          <w:tcPr>
            <w:tcW w:w="2033" w:type="dxa"/>
            <w:tcBorders>
              <w:top w:val="single" w:color="auto" w:sz="4" w:space="0"/>
              <w:left w:val="single" w:color="auto" w:sz="4" w:space="0"/>
              <w:bottom w:val="single" w:color="auto" w:sz="4"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1875" w:type="dxa"/>
            <w:tcBorders>
              <w:top w:val="single" w:color="auto" w:sz="4" w:space="0"/>
              <w:left w:val="single" w:color="000000" w:sz="12" w:space="0"/>
              <w:bottom w:val="single" w:color="auto" w:sz="12"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第五名</w:t>
            </w:r>
          </w:p>
        </w:tc>
        <w:tc>
          <w:tcPr>
            <w:tcW w:w="5347" w:type="dxa"/>
            <w:tcBorders>
              <w:top w:val="single" w:color="auto" w:sz="4" w:space="0"/>
              <w:left w:val="single" w:color="auto" w:sz="4" w:space="0"/>
              <w:bottom w:val="single" w:color="auto" w:sz="12" w:space="0"/>
              <w:right w:val="single" w:color="auto" w:sz="4" w:space="0"/>
            </w:tcBorders>
            <w:vAlign w:val="bottom"/>
          </w:tcPr>
          <w:p>
            <w:pPr>
              <w:widowControl/>
              <w:spacing w:line="480" w:lineRule="auto"/>
              <w:jc w:val="center"/>
              <w:rPr>
                <w:rFonts w:ascii="Times New Roman" w:hAnsi="Times New Roman"/>
                <w:color w:val="auto"/>
                <w:kern w:val="0"/>
                <w:szCs w:val="21"/>
                <w:highlight w:val="none"/>
              </w:rPr>
            </w:pPr>
          </w:p>
        </w:tc>
        <w:tc>
          <w:tcPr>
            <w:tcW w:w="2033" w:type="dxa"/>
            <w:tcBorders>
              <w:top w:val="single" w:color="auto" w:sz="4" w:space="0"/>
              <w:left w:val="single" w:color="auto" w:sz="4" w:space="0"/>
              <w:bottom w:val="single" w:color="auto" w:sz="12" w:space="0"/>
              <w:right w:val="single" w:color="auto" w:sz="12" w:space="0"/>
            </w:tcBorders>
            <w:vAlign w:val="bottom"/>
          </w:tcPr>
          <w:p>
            <w:pPr>
              <w:widowControl/>
              <w:spacing w:line="480" w:lineRule="auto"/>
              <w:jc w:val="center"/>
              <w:rPr>
                <w:rFonts w:ascii="Times New Roman" w:hAnsi="Times New Roman"/>
                <w:color w:val="auto"/>
                <w:kern w:val="0"/>
                <w:szCs w:val="21"/>
                <w:highlight w:val="none"/>
              </w:rPr>
            </w:pPr>
          </w:p>
        </w:tc>
      </w:tr>
    </w:tbl>
    <w:p>
      <w:pPr>
        <w:widowControl/>
        <w:shd w:val="clear" w:color="auto" w:fill="FFFFFF"/>
        <w:adjustRightInd w:val="0"/>
        <w:snapToGrid w:val="0"/>
        <w:spacing w:line="360" w:lineRule="exact"/>
        <w:ind w:firstLine="320"/>
        <w:jc w:val="righ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 xml:space="preserve">                                                 </w:t>
      </w:r>
    </w:p>
    <w:p>
      <w:pPr>
        <w:widowControl/>
        <w:shd w:val="clear" w:color="auto" w:fill="FFFFFF"/>
        <w:adjustRightInd w:val="0"/>
        <w:snapToGrid w:val="0"/>
        <w:spacing w:line="360" w:lineRule="exact"/>
        <w:jc w:val="left"/>
        <w:rPr>
          <w:rFonts w:ascii="Times New Roman" w:hAnsi="Times New Roman" w:eastAsia="楷体_GB2312"/>
          <w:color w:val="auto"/>
          <w:kern w:val="0"/>
          <w:sz w:val="22"/>
          <w:szCs w:val="22"/>
          <w:highlight w:val="none"/>
        </w:rPr>
      </w:pPr>
      <w:r>
        <w:rPr>
          <w:rFonts w:ascii="Times New Roman" w:hAnsi="Times New Roman" w:eastAsia="楷体_GB2312"/>
          <w:color w:val="auto"/>
          <w:kern w:val="0"/>
          <w:sz w:val="22"/>
          <w:szCs w:val="22"/>
          <w:highlight w:val="none"/>
        </w:rPr>
        <w:t>备注：1、采用综合评估法的，填写综合得分。</w:t>
      </w:r>
    </w:p>
    <w:p>
      <w:pPr>
        <w:widowControl/>
        <w:shd w:val="clear" w:color="auto" w:fill="FFFFFF"/>
        <w:adjustRightInd w:val="0"/>
        <w:snapToGrid w:val="0"/>
        <w:spacing w:line="360" w:lineRule="exact"/>
        <w:ind w:firstLine="660" w:firstLineChars="300"/>
        <w:jc w:val="left"/>
        <w:rPr>
          <w:rFonts w:ascii="Times New Roman" w:hAnsi="Times New Roman" w:eastAsia="楷体_GB2312"/>
          <w:color w:val="auto"/>
          <w:kern w:val="0"/>
          <w:sz w:val="22"/>
          <w:szCs w:val="22"/>
          <w:highlight w:val="none"/>
        </w:rPr>
      </w:pPr>
      <w:r>
        <w:rPr>
          <w:rFonts w:ascii="Times New Roman" w:hAnsi="Times New Roman" w:eastAsia="楷体_GB2312"/>
          <w:color w:val="auto"/>
          <w:kern w:val="0"/>
          <w:sz w:val="22"/>
          <w:szCs w:val="22"/>
          <w:highlight w:val="none"/>
        </w:rPr>
        <w:t>2、如两个及以上投标人综合得分相同时按照其现场监理部机构得分由高至低的顺序进行排序。现场监理部机构得分亦相同时，由评标委员会投票决定排序。</w:t>
      </w:r>
    </w:p>
    <w:p>
      <w:pPr>
        <w:widowControl/>
        <w:shd w:val="clear" w:color="auto" w:fill="FFFFFF"/>
        <w:jc w:val="left"/>
        <w:rPr>
          <w:rFonts w:ascii="Times New Roman" w:hAnsi="Times New Roman"/>
          <w:color w:val="auto"/>
          <w:kern w:val="0"/>
          <w:sz w:val="22"/>
          <w:szCs w:val="22"/>
          <w:highlight w:val="none"/>
        </w:rPr>
      </w:pPr>
    </w:p>
    <w:p>
      <w:pPr>
        <w:widowControl/>
        <w:shd w:val="clear" w:color="auto" w:fill="FFFFFF"/>
        <w:spacing w:after="72" w:afterLines="30"/>
        <w:jc w:val="left"/>
        <w:rPr>
          <w:rFonts w:ascii="Times New Roman" w:hAnsi="Times New Roman"/>
          <w:color w:val="auto"/>
          <w:kern w:val="0"/>
          <w:sz w:val="22"/>
          <w:szCs w:val="22"/>
          <w:highlight w:val="none"/>
        </w:rPr>
      </w:pPr>
      <w:r>
        <w:rPr>
          <w:rFonts w:ascii="Times New Roman" w:hAnsi="Times New Roman"/>
          <w:color w:val="auto"/>
          <w:kern w:val="0"/>
          <w:sz w:val="22"/>
          <w:szCs w:val="22"/>
          <w:highlight w:val="none"/>
        </w:rPr>
        <w:t>评标委员会全体成员签字/日期：</w:t>
      </w:r>
    </w:p>
    <w:p>
      <w:pPr>
        <w:widowControl/>
        <w:shd w:val="clear" w:color="auto" w:fill="FFFFFF"/>
        <w:spacing w:after="72" w:afterLines="30" w:line="440" w:lineRule="exact"/>
        <w:jc w:val="left"/>
        <w:rPr>
          <w:rFonts w:ascii="Times New Roman" w:hAnsi="Times New Roman"/>
          <w:color w:val="auto"/>
          <w:kern w:val="0"/>
          <w:sz w:val="22"/>
          <w:szCs w:val="22"/>
          <w:highlight w:val="none"/>
        </w:rPr>
      </w:pPr>
    </w:p>
    <w:p>
      <w:pPr>
        <w:widowControl/>
        <w:shd w:val="clear" w:color="auto" w:fill="FFFFFF"/>
        <w:spacing w:line="360" w:lineRule="atLeast"/>
        <w:jc w:val="left"/>
        <w:rPr>
          <w:rFonts w:ascii="Times New Roman" w:hAnsi="Times New Roman"/>
          <w:b/>
          <w:color w:val="auto"/>
          <w:kern w:val="0"/>
          <w:sz w:val="24"/>
          <w:highlight w:val="none"/>
        </w:rPr>
      </w:pPr>
      <w:r>
        <w:rPr>
          <w:rFonts w:ascii="Times New Roman" w:hAnsi="Times New Roman"/>
          <w:b/>
          <w:color w:val="auto"/>
          <w:kern w:val="0"/>
          <w:sz w:val="24"/>
          <w:highlight w:val="none"/>
        </w:rPr>
        <w:t xml:space="preserve">附表16 </w:t>
      </w:r>
    </w:p>
    <w:p>
      <w:pPr>
        <w:widowControl/>
        <w:shd w:val="clear" w:color="auto" w:fill="FFFFFF"/>
        <w:spacing w:line="360" w:lineRule="atLeast"/>
        <w:jc w:val="center"/>
        <w:rPr>
          <w:rFonts w:ascii="Times New Roman" w:hAnsi="Times New Roman"/>
          <w:color w:val="auto"/>
          <w:kern w:val="0"/>
          <w:sz w:val="22"/>
          <w:szCs w:val="20"/>
          <w:highlight w:val="none"/>
        </w:rPr>
      </w:pPr>
      <w:r>
        <w:rPr>
          <w:rFonts w:ascii="Times New Roman" w:hAnsi="Times New Roman"/>
          <w:b/>
          <w:color w:val="auto"/>
          <w:kern w:val="0"/>
          <w:sz w:val="28"/>
          <w:szCs w:val="28"/>
          <w:highlight w:val="none"/>
        </w:rPr>
        <w:t xml:space="preserve">中标候选人表      </w:t>
      </w:r>
      <w:r>
        <w:rPr>
          <w:rFonts w:ascii="Times New Roman" w:hAnsi="Times New Roman"/>
          <w:b/>
          <w:color w:val="auto"/>
          <w:kern w:val="0"/>
          <w:sz w:val="24"/>
          <w:highlight w:val="none"/>
        </w:rPr>
        <w:t xml:space="preserve">   </w:t>
      </w:r>
      <w:r>
        <w:rPr>
          <w:rFonts w:ascii="Times New Roman" w:hAnsi="Times New Roman"/>
          <w:color w:val="auto"/>
          <w:kern w:val="0"/>
          <w:sz w:val="22"/>
          <w:szCs w:val="20"/>
          <w:highlight w:val="none"/>
        </w:rPr>
        <w:t xml:space="preserve">                                             </w:t>
      </w:r>
    </w:p>
    <w:tbl>
      <w:tblPr>
        <w:tblStyle w:val="18"/>
        <w:tblW w:w="9240" w:type="dxa"/>
        <w:tblInd w:w="15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73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1854" w:type="dxa"/>
            <w:tcBorders>
              <w:top w:val="single" w:color="000000" w:sz="12" w:space="0"/>
              <w:left w:val="single" w:color="000000"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排  序</w:t>
            </w:r>
          </w:p>
        </w:tc>
        <w:tc>
          <w:tcPr>
            <w:tcW w:w="7386" w:type="dxa"/>
            <w:tcBorders>
              <w:top w:val="single" w:color="000000" w:sz="12" w:space="0"/>
              <w:left w:val="single" w:color="auto"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中标候选人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1854" w:type="dxa"/>
            <w:tcBorders>
              <w:top w:val="single" w:color="auto" w:sz="4" w:space="0"/>
              <w:left w:val="single" w:color="000000"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第一名</w:t>
            </w:r>
          </w:p>
        </w:tc>
        <w:tc>
          <w:tcPr>
            <w:tcW w:w="7386" w:type="dxa"/>
            <w:tcBorders>
              <w:top w:val="single" w:color="auto" w:sz="4" w:space="0"/>
              <w:left w:val="single" w:color="auto"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1854" w:type="dxa"/>
            <w:tcBorders>
              <w:top w:val="single" w:color="auto" w:sz="4" w:space="0"/>
              <w:left w:val="single" w:color="000000" w:sz="12" w:space="0"/>
              <w:bottom w:val="single" w:color="auto" w:sz="4"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第二名</w:t>
            </w:r>
          </w:p>
        </w:tc>
        <w:tc>
          <w:tcPr>
            <w:tcW w:w="7386" w:type="dxa"/>
            <w:tcBorders>
              <w:top w:val="single" w:color="auto" w:sz="4" w:space="0"/>
              <w:left w:val="single" w:color="auto" w:sz="4" w:space="0"/>
              <w:bottom w:val="single" w:color="auto" w:sz="4"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1854" w:type="dxa"/>
            <w:tcBorders>
              <w:top w:val="single" w:color="auto" w:sz="4" w:space="0"/>
              <w:left w:val="single" w:color="000000" w:sz="12" w:space="0"/>
              <w:bottom w:val="single" w:color="000000" w:sz="12" w:space="0"/>
              <w:right w:val="single" w:color="auto" w:sz="4" w:space="0"/>
            </w:tcBorders>
            <w:vAlign w:val="center"/>
          </w:tcPr>
          <w:p>
            <w:pPr>
              <w:widowControl/>
              <w:spacing w:line="48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第三名</w:t>
            </w:r>
          </w:p>
        </w:tc>
        <w:tc>
          <w:tcPr>
            <w:tcW w:w="7386" w:type="dxa"/>
            <w:tcBorders>
              <w:top w:val="single" w:color="auto" w:sz="4" w:space="0"/>
              <w:left w:val="single" w:color="auto" w:sz="4" w:space="0"/>
              <w:bottom w:val="single" w:color="000000" w:sz="12" w:space="0"/>
              <w:right w:val="single" w:color="auto" w:sz="12" w:space="0"/>
            </w:tcBorders>
            <w:vAlign w:val="center"/>
          </w:tcPr>
          <w:p>
            <w:pPr>
              <w:widowControl/>
              <w:spacing w:line="480" w:lineRule="auto"/>
              <w:jc w:val="center"/>
              <w:rPr>
                <w:rFonts w:ascii="Times New Roman" w:hAnsi="Times New Roman"/>
                <w:color w:val="auto"/>
                <w:kern w:val="0"/>
                <w:szCs w:val="21"/>
                <w:highlight w:val="none"/>
              </w:rPr>
            </w:pPr>
          </w:p>
        </w:tc>
      </w:tr>
    </w:tbl>
    <w:p>
      <w:pPr>
        <w:pStyle w:val="4"/>
        <w:tabs>
          <w:tab w:val="left" w:pos="540"/>
          <w:tab w:val="left" w:pos="720"/>
        </w:tabs>
        <w:spacing w:line="440" w:lineRule="exact"/>
        <w:ind w:firstLine="0" w:firstLineChars="0"/>
        <w:rPr>
          <w:rFonts w:ascii="Times New Roman" w:hAnsi="Times New Roman"/>
          <w:color w:val="auto"/>
          <w:szCs w:val="28"/>
          <w:highlight w:val="none"/>
        </w:rPr>
      </w:pPr>
      <w:r>
        <w:rPr>
          <w:rFonts w:ascii="Times New Roman" w:hAnsi="Times New Roman"/>
          <w:color w:val="auto"/>
          <w:kern w:val="0"/>
          <w:sz w:val="22"/>
          <w:szCs w:val="22"/>
          <w:highlight w:val="none"/>
        </w:rPr>
        <w:t>评标委员会全体成员签字/日期：</w:t>
      </w:r>
    </w:p>
    <w:p>
      <w:pPr>
        <w:pStyle w:val="24"/>
        <w:tabs>
          <w:tab w:val="left" w:pos="900"/>
          <w:tab w:val="left" w:pos="1440"/>
        </w:tabs>
        <w:autoSpaceDE/>
        <w:autoSpaceDN/>
        <w:adjustRightInd/>
        <w:spacing w:line="500" w:lineRule="exact"/>
        <w:ind w:firstLine="0" w:firstLineChars="0"/>
        <w:rPr>
          <w:rFonts w:ascii="Times New Roman" w:hAnsi="Times New Roman"/>
          <w:color w:val="auto"/>
          <w:highlight w:val="none"/>
        </w:rPr>
      </w:pPr>
    </w:p>
    <w:p>
      <w:pPr>
        <w:pStyle w:val="24"/>
        <w:tabs>
          <w:tab w:val="left" w:pos="900"/>
          <w:tab w:val="left" w:pos="1440"/>
        </w:tabs>
        <w:autoSpaceDE/>
        <w:autoSpaceDN/>
        <w:adjustRightInd/>
        <w:spacing w:line="500" w:lineRule="exact"/>
        <w:ind w:firstLine="0" w:firstLineChars="0"/>
        <w:rPr>
          <w:rFonts w:ascii="Times New Roman" w:hAnsi="Times New Roman"/>
          <w:color w:val="auto"/>
          <w:highlight w:val="none"/>
        </w:rPr>
      </w:pPr>
    </w:p>
    <w:p>
      <w:pPr>
        <w:pStyle w:val="5"/>
        <w:keepLines w:val="0"/>
        <w:pageBreakBefore w:val="0"/>
        <w:widowControl/>
        <w:autoSpaceDE/>
        <w:autoSpaceDN/>
        <w:adjustRightInd/>
        <w:spacing w:before="0" w:after="0" w:line="240" w:lineRule="atLeast"/>
        <w:rPr>
          <w:rFonts w:ascii="Times New Roman" w:hAnsi="Times New Roman"/>
          <w:color w:val="auto"/>
          <w:szCs w:val="21"/>
          <w:highlight w:val="none"/>
        </w:rPr>
      </w:pPr>
      <w:bookmarkStart w:id="174" w:name="_Toc1677"/>
      <w:bookmarkStart w:id="175" w:name="_Toc509841421"/>
      <w:bookmarkStart w:id="176" w:name="_Toc29685"/>
      <w:bookmarkStart w:id="177" w:name="_Toc19059"/>
      <w:bookmarkStart w:id="178" w:name="_Toc994"/>
      <w:bookmarkStart w:id="179" w:name="_Toc322006107"/>
      <w:bookmarkStart w:id="180" w:name="_Toc259546848"/>
      <w:r>
        <w:rPr>
          <w:rFonts w:ascii="Times New Roman" w:hAnsi="Times New Roman"/>
          <w:color w:val="auto"/>
          <w:sz w:val="40"/>
          <w:szCs w:val="40"/>
          <w:highlight w:val="none"/>
        </w:rPr>
        <w:t>第七章  废标条款</w:t>
      </w:r>
      <w:bookmarkEnd w:id="174"/>
      <w:bookmarkEnd w:id="175"/>
      <w:bookmarkEnd w:id="176"/>
      <w:bookmarkEnd w:id="177"/>
      <w:bookmarkEnd w:id="178"/>
      <w:bookmarkEnd w:id="179"/>
      <w:bookmarkEnd w:id="180"/>
    </w:p>
    <w:p>
      <w:pPr>
        <w:spacing w:before="100" w:line="480" w:lineRule="exact"/>
        <w:rPr>
          <w:rFonts w:ascii="Times New Roman" w:hAnsi="Times New Roman"/>
          <w:color w:val="auto"/>
          <w:szCs w:val="21"/>
          <w:highlight w:val="none"/>
        </w:rPr>
      </w:pPr>
      <w:r>
        <w:rPr>
          <w:rFonts w:ascii="Times New Roman" w:hAnsi="Times New Roman"/>
          <w:color w:val="auto"/>
          <w:szCs w:val="21"/>
          <w:highlight w:val="none"/>
        </w:rPr>
        <w:t>一、投标文件有下述情况之一的，评标委员会应当认定其为不合格投标人：</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（一）评标委员会发现投标人以他人的名义投标的；串通投标的；以行贿手段谋取中标或者不如实提供有关情况、文件、证明等资料及以其他弄虚作假方式投标的；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（二）投标文件无企业法人公章的，无企业法定代表人（或法定代表人授权的代理人）签字或盖章的；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（三）投标文件中的关键内容或数字字迹模糊、无法辨认的；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（四）投标人递交两份或多份内容不同的投标文件的；在一份投标文件中对招标项目有两个或多个投标报价，且未在投标文件中声明哪一个有效的（按招标文件规定提交备选投标方案的除外）；</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（五）投标人名称或组织结构（包括拟任总监理工程师）与资格预审时不一致的；投标人及其拟任总监理工程师不能继续满足招标文件规定的资格条件的；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（六）没有按照招标文件的规定提供投标担保或者所提供的投标担保有瑕疵的；投标人不能提供合法的、真实的材料证明其投标文件的真实性或证明其为合格投标人的；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（七）投标人资格条件不符合国家有关规定或者招标文件要求的；其它不符合法律法规资格规定的；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（八）投标文件载明的投标范围小于招标文件规定的招标范围的；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（九）投标报价超过招标文件规定的；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（十）投标文件载明的工期控制目标不符合招标文件规定的；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（十一）投标文件载明的质量控制目标低于招标文件规定的；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（十二）投标文件附有招标人不能接受的条件的；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（十三）其它未能实质响应招标文件提出的实质性要求和条件的；</w:t>
      </w:r>
    </w:p>
    <w:p>
      <w:pPr>
        <w:spacing w:before="100" w:line="480" w:lineRule="exact"/>
        <w:ind w:firstLine="500"/>
        <w:rPr>
          <w:rFonts w:ascii="Times New Roman" w:hAnsi="Times New Roman"/>
          <w:color w:val="auto"/>
          <w:szCs w:val="21"/>
          <w:highlight w:val="none"/>
        </w:rPr>
      </w:pPr>
      <w:r>
        <w:rPr>
          <w:rFonts w:ascii="Times New Roman" w:hAnsi="Times New Roman"/>
          <w:color w:val="auto"/>
          <w:szCs w:val="21"/>
          <w:highlight w:val="none"/>
        </w:rPr>
        <w:t>（十四）纸质文本未注明“正本”“副本”，且实质性内容不一致的，为不合格投标人；</w:t>
      </w:r>
    </w:p>
    <w:p>
      <w:pPr>
        <w:spacing w:before="100" w:line="480" w:lineRule="exact"/>
        <w:ind w:firstLine="500"/>
        <w:rPr>
          <w:rFonts w:ascii="Times New Roman" w:hAnsi="Times New Roman"/>
          <w:b/>
          <w:color w:val="auto"/>
          <w:szCs w:val="21"/>
          <w:highlight w:val="none"/>
        </w:rPr>
      </w:pPr>
      <w:r>
        <w:rPr>
          <w:rFonts w:ascii="Times New Roman" w:hAnsi="Times New Roman"/>
          <w:b/>
          <w:color w:val="auto"/>
          <w:szCs w:val="21"/>
          <w:highlight w:val="none"/>
        </w:rPr>
        <w:t>（十五）投标人监理项目部关键岗位人员配备未达到湘建建</w:t>
      </w:r>
      <w:r>
        <w:rPr>
          <w:rFonts w:ascii="Times New Roman" w:hAnsi="Times New Roman"/>
          <w:b/>
          <w:bCs/>
          <w:color w:val="auto"/>
          <w:szCs w:val="21"/>
          <w:highlight w:val="none"/>
          <w:u w:val="single"/>
        </w:rPr>
        <w:t>[2015]57</w:t>
      </w:r>
      <w:r>
        <w:rPr>
          <w:rFonts w:ascii="Times New Roman" w:hAnsi="Times New Roman"/>
          <w:b/>
          <w:color w:val="auto"/>
          <w:szCs w:val="21"/>
          <w:highlight w:val="none"/>
        </w:rPr>
        <w:t>号文及招标文件投标须知第6条要求的。</w:t>
      </w:r>
    </w:p>
    <w:p>
      <w:pPr>
        <w:rPr>
          <w:rFonts w:ascii="Times New Roman" w:hAnsi="Times New Roman"/>
          <w:b/>
          <w:color w:val="auto"/>
          <w:szCs w:val="21"/>
          <w:highlight w:val="none"/>
        </w:rPr>
      </w:pPr>
    </w:p>
    <w:p>
      <w:pPr>
        <w:rPr>
          <w:rFonts w:ascii="Times New Roman" w:hAnsi="Times New Roman"/>
          <w:color w:val="auto"/>
          <w:highlight w:val="none"/>
        </w:rPr>
      </w:pPr>
    </w:p>
    <w:sectPr>
      <w:footerReference r:id="rId14" w:type="even"/>
      <w:pgSz w:w="11907" w:h="16840"/>
      <w:pgMar w:top="1134" w:right="992" w:bottom="1134" w:left="1418" w:header="720" w:footer="720"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方正仿宋简体">
    <w:altName w:val="微软雅黑"/>
    <w:panose1 w:val="02010601030101010101"/>
    <w:charset w:val="86"/>
    <w:family w:val="auto"/>
    <w:pitch w:val="default"/>
    <w:sig w:usb0="00000000" w:usb1="00000000" w:usb2="00000010" w:usb3="00000000" w:csb0="00040000" w:csb1="00000000"/>
  </w:font>
  <w:font w:name="创艺简魏碑">
    <w:altName w:val="宋体"/>
    <w:panose1 w:val="00000000000000000000"/>
    <w:charset w:val="7A"/>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方正大标宋简体">
    <w:altName w:val="微软雅黑"/>
    <w:panose1 w:val="0201060103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81"/>
      <w:rPr>
        <w:u w:val="single"/>
      </w:rPr>
    </w:pPr>
    <w:r>
      <w:rPr>
        <w:rFonts w:hint="eastAsia" w:ascii="宋体" w:hAnsi="宋体"/>
        <w:szCs w:val="21"/>
        <w:u w:val="single"/>
      </w:rPr>
      <w:t xml:space="preserve">                                                                                                                                  </w:t>
    </w:r>
  </w:p>
  <w:p>
    <w:pPr>
      <w:pStyle w:val="12"/>
      <w:ind w:right="81"/>
    </w:pPr>
    <w:r>
      <w:rPr>
        <w:rFonts w:hint="eastAsia"/>
      </w:rPr>
      <w:t>湖南新泉工程造价咨询有限公司                                                  联系电话：0731-28825579</w:t>
    </w:r>
  </w:p>
  <w:p>
    <w:pPr>
      <w:pStyle w:val="12"/>
      <w:ind w:right="81"/>
    </w:pPr>
  </w:p>
  <w:p>
    <w:pPr>
      <w:pStyle w:val="12"/>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81"/>
      <w:rPr>
        <w:u w:val="single"/>
      </w:rPr>
    </w:pPr>
    <w:r>
      <w:rPr>
        <w:rFonts w:hint="eastAsia" w:ascii="宋体" w:hAnsi="宋体"/>
        <w:szCs w:val="21"/>
        <w:u w:val="single"/>
      </w:rPr>
      <w:t xml:space="preserve">                                                                                                                                  </w:t>
    </w:r>
  </w:p>
  <w:p>
    <w:pPr>
      <w:pStyle w:val="12"/>
      <w:ind w:right="81"/>
    </w:pPr>
    <w:r>
      <w:rPr>
        <w:rFonts w:hint="eastAsia"/>
      </w:rPr>
      <w:t>湖南新泉工程造价咨询有限公司                                                  联系电话：0731-28825579</w:t>
    </w:r>
  </w:p>
  <w:p>
    <w:pPr>
      <w:pStyle w:val="12"/>
      <w:ind w:right="81"/>
    </w:pPr>
  </w:p>
  <w:p>
    <w:pPr>
      <w:pStyle w:val="12"/>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u w:val="single"/>
      </w:rPr>
    </w:pPr>
    <w:r>
      <w:rPr>
        <w:rFonts w:hint="eastAsia"/>
        <w:u w:val="single"/>
      </w:rPr>
      <w:t xml:space="preserve">                                                                                                                                      </w:t>
    </w:r>
  </w:p>
  <w:p>
    <w:pPr>
      <w:pStyle w:val="12"/>
      <w:ind w:right="360"/>
    </w:pPr>
    <w:r>
      <w:rPr>
        <w:rFonts w:hint="eastAsia"/>
      </w:rPr>
      <w:t xml:space="preserve"> </w:t>
    </w:r>
  </w:p>
  <w:p>
    <w:pPr>
      <w:pStyle w:val="12"/>
      <w:ind w:right="360"/>
    </w:pPr>
  </w:p>
  <w:p>
    <w:pPr>
      <w:pStyle w:val="12"/>
      <w:ind w:right="360"/>
    </w:pP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u w:val="single"/>
      </w:rPr>
    </w:pPr>
    <w:r>
      <w:rPr>
        <w:rFonts w:hint="eastAsia"/>
        <w:u w:val="single"/>
      </w:rPr>
      <w:t xml:space="preserve">                                                                                                                                      </w:t>
    </w:r>
  </w:p>
  <w:p>
    <w:pPr>
      <w:pStyle w:val="12"/>
      <w:ind w:right="360"/>
    </w:pPr>
    <w:r>
      <w:rPr>
        <w:rFonts w:hint="eastAsia"/>
      </w:rPr>
      <w:t xml:space="preserve"> </w:t>
    </w:r>
  </w:p>
  <w:p>
    <w:pPr>
      <w:pStyle w:val="12"/>
      <w:ind w:right="360"/>
    </w:pPr>
  </w:p>
  <w:p>
    <w:pPr>
      <w:pStyle w:val="12"/>
      <w:ind w:right="360"/>
    </w:pP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u w:val="single"/>
      </w:rPr>
    </w:pPr>
    <w:r>
      <w:rPr>
        <w:rFonts w:hint="eastAsia"/>
        <w:u w:val="single"/>
      </w:rPr>
      <w:t xml:space="preserve">                                                                                                                                      </w:t>
    </w:r>
  </w:p>
  <w:p>
    <w:pPr>
      <w:pStyle w:val="12"/>
      <w:ind w:right="360"/>
    </w:pPr>
    <w:r>
      <w:rPr>
        <w:rFonts w:hint="eastAsia"/>
      </w:rPr>
      <w:t xml:space="preserve"> </w:t>
    </w:r>
  </w:p>
  <w:p>
    <w:pPr>
      <w:pStyle w:val="12"/>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408555" cy="27876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476500" cy="262890"/>
                      </a:xfrm>
                      <a:prstGeom prst="rect">
                        <a:avLst/>
                      </a:prstGeom>
                      <a:noFill/>
                      <a:ln w="9525">
                        <a:noFill/>
                      </a:ln>
                      <a:effectLst/>
                    </wps:spPr>
                    <wps:txbx>
                      <w:txbxContent>
                        <w:p>
                          <w:pPr>
                            <w:pStyle w:val="12"/>
                            <w:ind w:right="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- 52 -</w:t>
                          </w:r>
                          <w:r>
                            <w:rPr>
                              <w:rFonts w:hint="eastAsia"/>
                            </w:rPr>
                            <w:fldChar w:fldCharType="end"/>
                          </w:r>
                          <w:r>
                            <w:rPr>
                              <w:rFonts w:hint="eastAsia"/>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21.95pt;width:189.65pt;mso-position-horizontal:center;mso-position-horizontal-relative:margin;mso-wrap-style:none;z-index:251663360;mso-width-relative:page;mso-height-relative:page;" filled="f" stroked="f" coordsize="21600,21600" o:gfxdata="UEsDBAoAAAAAAIdO4kAAAAAAAAAAAAAAAAAEAAAAZHJzL1BLAwQUAAAACACHTuJAjtOeNtMAAAAE&#10;AQAADwAAAGRycy9kb3ducmV2LnhtbE2PwU7DMBBE70j8g7VI3KhTgmibxumhEhduFITEzY23cVR7&#10;Hdlumvw9Cxe4rDSa0czbejd5J0aMqQ+kYLkoQCC1wfTUKfh4f3lYg0hZk9EuECqYMcGuub2pdWXC&#10;ld5wPOROcAmlSiuwOQ+VlKm16HVahAGJvVOIXmeWsZMm6iuXeycfi+JZet0TL1g94N5iez5cvILV&#10;9BlwSLjHr9PYRtvPa/c6K3V/tyy2IDJO+S8MP/iMDg0zHcOFTBJOAT+Sfy975WpTgjgqeCo3IJta&#10;/odvvgFQSwMEFAAAAAgAh07iQPnvmsm8AQAAVwMAAA4AAABkcnMvZTJvRG9jLnhtbK1TwU4bMRC9&#10;I/UfLN/JLisSYJUNaoWoKlUFCfgAx2tnLdkeyzbZzQ+0f9ATF+58V76DsbMJCG5VL854Zvz2vTeT&#10;+eVgNFkLHxTYhp5MSkqE5dAqu2row/318TklITLbMg1WNHQjAr1cfDma964WFXSgW+EJgthQ966h&#10;XYyuLorAO2FYmIATFosSvGERr35VtJ71iG50UZXlrOjBt84DFyFg9mpXpIuML6Xg8UbKICLRDUVu&#10;MZ8+n8t0Fos5q1eeuU7xkQb7BxaGKYsfPUBdscjIo1efoIziHgLIOOFgCpBScZE1oJqT8oOau445&#10;kbWgOcEdbAr/D5b/Wt96olqc3Rkllhmc0fbvn+3Ty/b5N8EcGtS7UGPfncPOOHyDAZv3+YDJpHuQ&#10;3qRfVESwjlZvDvaKIRKOyer0bDYtscSxVs2q84vsf/H22vkQvwswJAUN9Ti+7Cpb/wwRmWDrviV9&#10;zMK10jqPUFvSN/RiWk3zg0MFX2ibekVehhEmKdoxT1EclsMocwntBlX2uBANtbixlOgfFv1Ou7MP&#10;/D5YjkHCD+7rY0Q+mWZC3UEh53TB6WX246al9Xh/z11v/4fFK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7TnjbTAAAABAEAAA8AAAAAAAAAAQAgAAAAIgAAAGRycy9kb3ducmV2LnhtbFBLAQIUABQA&#10;AAAIAIdO4kD575rJvAEAAFcDAAAOAAAAAAAAAAEAIAAAACIBAABkcnMvZTJvRG9jLnhtbFBLBQYA&#10;AAAABgAGAFkBAABQBQAAAAA=&#10;">
              <v:fill on="f" focussize="0,0"/>
              <v:stroke on="f"/>
              <v:imagedata o:title=""/>
              <o:lock v:ext="edit" aspectratio="f"/>
              <v:textbox inset="0mm,0mm,0mm,0mm" style="mso-fit-shape-to-text:t;">
                <w:txbxContent>
                  <w:p>
                    <w:pPr>
                      <w:pStyle w:val="12"/>
                      <w:ind w:right="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- 52 -</w:t>
                    </w:r>
                    <w:r>
                      <w:rPr>
                        <w:rFonts w:hint="eastAsia"/>
                      </w:rPr>
                      <w:fldChar w:fldCharType="end"/>
                    </w:r>
                    <w:r>
                      <w:rPr>
                        <w:rFonts w:hint="eastAsia"/>
                      </w:rPr>
                      <w:t xml:space="preserve">     </w:t>
                    </w:r>
                  </w:p>
                </w:txbxContent>
              </v:textbox>
            </v:shape>
          </w:pict>
        </mc:Fallback>
      </mc:AlternateContent>
    </w:r>
  </w:p>
  <w:p>
    <w:pPr>
      <w:pStyle w:val="12"/>
      <w:ind w:right="360"/>
    </w:pPr>
    <w:r>
      <w:rPr>
        <w:rFonts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0"/>
      </w:rPr>
    </w:pPr>
    <w:r>
      <w:fldChar w:fldCharType="begin"/>
    </w:r>
    <w:r>
      <w:rPr>
        <w:rStyle w:val="20"/>
      </w:rPr>
      <w:instrText xml:space="preserve">PAGE  </w:instrText>
    </w:r>
    <w:r>
      <w:fldChar w:fldCharType="separate"/>
    </w:r>
    <w:r>
      <w:rPr>
        <w:rStyle w:val="20"/>
      </w:rPr>
      <w:t>- 21 -</w:t>
    </w:r>
    <w:r>
      <w:fldChar w:fldCharType="end"/>
    </w:r>
  </w:p>
  <w:p>
    <w:pPr>
      <w:pStyle w:val="1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N w:val="0"/>
      <w:adjustRightInd w:val="0"/>
      <w:snapToGrid w:val="0"/>
      <w:spacing w:line="440" w:lineRule="exact"/>
      <w:jc w:val="left"/>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05CB06"/>
    <w:multiLevelType w:val="singleLevel"/>
    <w:tmpl w:val="9705CB06"/>
    <w:lvl w:ilvl="0" w:tentative="0">
      <w:start w:val="3"/>
      <w:numFmt w:val="decimal"/>
      <w:lvlText w:val="%1."/>
      <w:lvlJc w:val="left"/>
      <w:pPr>
        <w:tabs>
          <w:tab w:val="left" w:pos="312"/>
        </w:tabs>
      </w:pPr>
    </w:lvl>
  </w:abstractNum>
  <w:abstractNum w:abstractNumId="1">
    <w:nsid w:val="B40E38AC"/>
    <w:multiLevelType w:val="singleLevel"/>
    <w:tmpl w:val="B40E38AC"/>
    <w:lvl w:ilvl="0" w:tentative="0">
      <w:start w:val="2"/>
      <w:numFmt w:val="decimal"/>
      <w:lvlText w:val="%1."/>
      <w:lvlJc w:val="left"/>
      <w:pPr>
        <w:tabs>
          <w:tab w:val="left" w:pos="312"/>
        </w:tabs>
      </w:pPr>
    </w:lvl>
  </w:abstractNum>
  <w:abstractNum w:abstractNumId="2">
    <w:nsid w:val="E20E389E"/>
    <w:multiLevelType w:val="singleLevel"/>
    <w:tmpl w:val="E20E389E"/>
    <w:lvl w:ilvl="0" w:tentative="0">
      <w:start w:val="3"/>
      <w:numFmt w:val="decimal"/>
      <w:suff w:val="nothing"/>
      <w:lvlText w:val="%1．"/>
      <w:lvlJc w:val="left"/>
    </w:lvl>
  </w:abstractNum>
  <w:abstractNum w:abstractNumId="3">
    <w:nsid w:val="00000001"/>
    <w:multiLevelType w:val="singleLevel"/>
    <w:tmpl w:val="00000001"/>
    <w:lvl w:ilvl="0" w:tentative="0">
      <w:start w:val="15"/>
      <w:numFmt w:val="decimal"/>
      <w:suff w:val="nothing"/>
      <w:lvlText w:val="%1、"/>
      <w:lvlJc w:val="left"/>
    </w:lvl>
  </w:abstractNum>
  <w:abstractNum w:abstractNumId="4">
    <w:nsid w:val="00000002"/>
    <w:multiLevelType w:val="multilevel"/>
    <w:tmpl w:val="00000002"/>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5">
    <w:nsid w:val="00000003"/>
    <w:multiLevelType w:val="multilevel"/>
    <w:tmpl w:val="00000003"/>
    <w:lvl w:ilvl="0" w:tentative="0">
      <w:start w:val="1"/>
      <w:numFmt w:val="bullet"/>
      <w:lvlText w:val=""/>
      <w:lvlJc w:val="left"/>
      <w:pPr>
        <w:tabs>
          <w:tab w:val="left" w:pos="920"/>
        </w:tabs>
        <w:ind w:left="920" w:hanging="420"/>
      </w:pPr>
      <w:rPr>
        <w:rFonts w:hint="default" w:ascii="Wingdings" w:hAnsi="Wingdings"/>
      </w:rPr>
    </w:lvl>
    <w:lvl w:ilvl="1" w:tentative="0">
      <w:start w:val="1"/>
      <w:numFmt w:val="bullet"/>
      <w:lvlText w:val=""/>
      <w:lvlJc w:val="left"/>
      <w:pPr>
        <w:tabs>
          <w:tab w:val="left" w:pos="1340"/>
        </w:tabs>
        <w:ind w:left="1340" w:hanging="420"/>
      </w:pPr>
      <w:rPr>
        <w:rFonts w:hint="default" w:ascii="Wingdings" w:hAnsi="Wingdings"/>
      </w:rPr>
    </w:lvl>
    <w:lvl w:ilvl="2" w:tentative="0">
      <w:start w:val="1"/>
      <w:numFmt w:val="bullet"/>
      <w:lvlText w:val=""/>
      <w:lvlJc w:val="left"/>
      <w:pPr>
        <w:tabs>
          <w:tab w:val="left" w:pos="1760"/>
        </w:tabs>
        <w:ind w:left="1760" w:hanging="420"/>
      </w:pPr>
      <w:rPr>
        <w:rFonts w:hint="default" w:ascii="Wingdings" w:hAnsi="Wingdings"/>
      </w:rPr>
    </w:lvl>
    <w:lvl w:ilvl="3" w:tentative="0">
      <w:start w:val="1"/>
      <w:numFmt w:val="bullet"/>
      <w:lvlText w:val=""/>
      <w:lvlJc w:val="left"/>
      <w:pPr>
        <w:tabs>
          <w:tab w:val="left" w:pos="2180"/>
        </w:tabs>
        <w:ind w:left="2180" w:hanging="420"/>
      </w:pPr>
      <w:rPr>
        <w:rFonts w:hint="default" w:ascii="Wingdings" w:hAnsi="Wingdings"/>
      </w:rPr>
    </w:lvl>
    <w:lvl w:ilvl="4" w:tentative="0">
      <w:start w:val="1"/>
      <w:numFmt w:val="bullet"/>
      <w:lvlText w:val=""/>
      <w:lvlJc w:val="left"/>
      <w:pPr>
        <w:tabs>
          <w:tab w:val="left" w:pos="2600"/>
        </w:tabs>
        <w:ind w:left="2600" w:hanging="420"/>
      </w:pPr>
      <w:rPr>
        <w:rFonts w:hint="default" w:ascii="Wingdings" w:hAnsi="Wingdings"/>
      </w:rPr>
    </w:lvl>
    <w:lvl w:ilvl="5" w:tentative="0">
      <w:start w:val="1"/>
      <w:numFmt w:val="bullet"/>
      <w:lvlText w:val=""/>
      <w:lvlJc w:val="left"/>
      <w:pPr>
        <w:tabs>
          <w:tab w:val="left" w:pos="3020"/>
        </w:tabs>
        <w:ind w:left="3020" w:hanging="420"/>
      </w:pPr>
      <w:rPr>
        <w:rFonts w:hint="default" w:ascii="Wingdings" w:hAnsi="Wingdings"/>
      </w:rPr>
    </w:lvl>
    <w:lvl w:ilvl="6" w:tentative="0">
      <w:start w:val="1"/>
      <w:numFmt w:val="bullet"/>
      <w:lvlText w:val=""/>
      <w:lvlJc w:val="left"/>
      <w:pPr>
        <w:tabs>
          <w:tab w:val="left" w:pos="3440"/>
        </w:tabs>
        <w:ind w:left="3440" w:hanging="420"/>
      </w:pPr>
      <w:rPr>
        <w:rFonts w:hint="default" w:ascii="Wingdings" w:hAnsi="Wingdings"/>
      </w:rPr>
    </w:lvl>
    <w:lvl w:ilvl="7" w:tentative="0">
      <w:start w:val="1"/>
      <w:numFmt w:val="bullet"/>
      <w:lvlText w:val=""/>
      <w:lvlJc w:val="left"/>
      <w:pPr>
        <w:tabs>
          <w:tab w:val="left" w:pos="3860"/>
        </w:tabs>
        <w:ind w:left="3860" w:hanging="420"/>
      </w:pPr>
      <w:rPr>
        <w:rFonts w:hint="default" w:ascii="Wingdings" w:hAnsi="Wingdings"/>
      </w:rPr>
    </w:lvl>
    <w:lvl w:ilvl="8" w:tentative="0">
      <w:start w:val="1"/>
      <w:numFmt w:val="bullet"/>
      <w:lvlText w:val=""/>
      <w:lvlJc w:val="left"/>
      <w:pPr>
        <w:tabs>
          <w:tab w:val="left" w:pos="4280"/>
        </w:tabs>
        <w:ind w:left="4280" w:hanging="420"/>
      </w:pPr>
      <w:rPr>
        <w:rFonts w:hint="default" w:ascii="Wingdings" w:hAnsi="Wingdings"/>
      </w:rPr>
    </w:lvl>
  </w:abstractNum>
  <w:abstractNum w:abstractNumId="6">
    <w:nsid w:val="00000005"/>
    <w:multiLevelType w:val="multilevel"/>
    <w:tmpl w:val="00000005"/>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
    <w:nsid w:val="00000006"/>
    <w:multiLevelType w:val="singleLevel"/>
    <w:tmpl w:val="00000006"/>
    <w:lvl w:ilvl="0" w:tentative="0">
      <w:start w:val="5"/>
      <w:numFmt w:val="chineseCounting"/>
      <w:suff w:val="space"/>
      <w:lvlText w:val="第%1章"/>
      <w:lvlJc w:val="left"/>
    </w:lvl>
  </w:abstractNum>
  <w:abstractNum w:abstractNumId="8">
    <w:nsid w:val="00000007"/>
    <w:multiLevelType w:val="singleLevel"/>
    <w:tmpl w:val="00000007"/>
    <w:lvl w:ilvl="0" w:tentative="0">
      <w:start w:val="1"/>
      <w:numFmt w:val="decimal"/>
      <w:suff w:val="nothing"/>
      <w:lvlText w:val="%1、"/>
      <w:lvlJc w:val="left"/>
    </w:lvl>
  </w:abstractNum>
  <w:abstractNum w:abstractNumId="9">
    <w:nsid w:val="00000008"/>
    <w:multiLevelType w:val="singleLevel"/>
    <w:tmpl w:val="00000008"/>
    <w:lvl w:ilvl="0" w:tentative="0">
      <w:start w:val="1"/>
      <w:numFmt w:val="decimal"/>
      <w:suff w:val="nothing"/>
      <w:lvlText w:val="（%1）"/>
      <w:lvlJc w:val="left"/>
    </w:lvl>
  </w:abstractNum>
  <w:num w:numId="1">
    <w:abstractNumId w:val="0"/>
  </w:num>
  <w:num w:numId="2">
    <w:abstractNumId w:val="8"/>
  </w:num>
  <w:num w:numId="3">
    <w:abstractNumId w:val="9"/>
  </w:num>
  <w:num w:numId="4">
    <w:abstractNumId w:val="6"/>
  </w:num>
  <w:num w:numId="5">
    <w:abstractNumId w:val="5"/>
  </w:num>
  <w:num w:numId="6">
    <w:abstractNumId w:val="4"/>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EDD0467"/>
    <w:rsid w:val="00011B3A"/>
    <w:rsid w:val="000223AF"/>
    <w:rsid w:val="0004364A"/>
    <w:rsid w:val="000A1F02"/>
    <w:rsid w:val="000A2F6C"/>
    <w:rsid w:val="000E6335"/>
    <w:rsid w:val="0010513C"/>
    <w:rsid w:val="00112534"/>
    <w:rsid w:val="00116D69"/>
    <w:rsid w:val="0013090D"/>
    <w:rsid w:val="0015247F"/>
    <w:rsid w:val="00155D75"/>
    <w:rsid w:val="0025235E"/>
    <w:rsid w:val="002D58B3"/>
    <w:rsid w:val="003125E5"/>
    <w:rsid w:val="00315F52"/>
    <w:rsid w:val="00330AE3"/>
    <w:rsid w:val="0033553B"/>
    <w:rsid w:val="00355649"/>
    <w:rsid w:val="003766CB"/>
    <w:rsid w:val="00386D5C"/>
    <w:rsid w:val="00401BBD"/>
    <w:rsid w:val="004C2DD5"/>
    <w:rsid w:val="004D29E1"/>
    <w:rsid w:val="004E3B11"/>
    <w:rsid w:val="00552821"/>
    <w:rsid w:val="005B17CA"/>
    <w:rsid w:val="00652692"/>
    <w:rsid w:val="006636AC"/>
    <w:rsid w:val="006D4B8C"/>
    <w:rsid w:val="006D7285"/>
    <w:rsid w:val="006F016D"/>
    <w:rsid w:val="00790D0E"/>
    <w:rsid w:val="007B49FB"/>
    <w:rsid w:val="007E2154"/>
    <w:rsid w:val="0085753D"/>
    <w:rsid w:val="008612F4"/>
    <w:rsid w:val="00872701"/>
    <w:rsid w:val="00900892"/>
    <w:rsid w:val="0091548A"/>
    <w:rsid w:val="00997DBC"/>
    <w:rsid w:val="009B1D67"/>
    <w:rsid w:val="00A05FCD"/>
    <w:rsid w:val="00AB43A3"/>
    <w:rsid w:val="00AC3905"/>
    <w:rsid w:val="00B22BC5"/>
    <w:rsid w:val="00B86946"/>
    <w:rsid w:val="00B9039F"/>
    <w:rsid w:val="00BA4202"/>
    <w:rsid w:val="00BD0443"/>
    <w:rsid w:val="00C52D41"/>
    <w:rsid w:val="00CF2A2B"/>
    <w:rsid w:val="00DA13E5"/>
    <w:rsid w:val="00E5797E"/>
    <w:rsid w:val="00E8024A"/>
    <w:rsid w:val="00E932A8"/>
    <w:rsid w:val="00E93E9D"/>
    <w:rsid w:val="00EA474B"/>
    <w:rsid w:val="00ED31EE"/>
    <w:rsid w:val="00F36E53"/>
    <w:rsid w:val="00FE601D"/>
    <w:rsid w:val="00FF5414"/>
    <w:rsid w:val="0155629E"/>
    <w:rsid w:val="015845A1"/>
    <w:rsid w:val="043E07F5"/>
    <w:rsid w:val="066D3982"/>
    <w:rsid w:val="069766D7"/>
    <w:rsid w:val="07831731"/>
    <w:rsid w:val="087403D3"/>
    <w:rsid w:val="089F18A2"/>
    <w:rsid w:val="09A02272"/>
    <w:rsid w:val="0C375066"/>
    <w:rsid w:val="0ED80F77"/>
    <w:rsid w:val="0F1428CA"/>
    <w:rsid w:val="1A763C89"/>
    <w:rsid w:val="1D5955DF"/>
    <w:rsid w:val="1EBE31EE"/>
    <w:rsid w:val="1EC12A2D"/>
    <w:rsid w:val="1EDC7BF9"/>
    <w:rsid w:val="21802867"/>
    <w:rsid w:val="21D3238C"/>
    <w:rsid w:val="27FF717C"/>
    <w:rsid w:val="2A1B2F20"/>
    <w:rsid w:val="2CF245D1"/>
    <w:rsid w:val="2DD343BA"/>
    <w:rsid w:val="2FBC775B"/>
    <w:rsid w:val="2FC93BCE"/>
    <w:rsid w:val="30353EEA"/>
    <w:rsid w:val="30965E9A"/>
    <w:rsid w:val="30F953F2"/>
    <w:rsid w:val="31FD1F2D"/>
    <w:rsid w:val="356D6D43"/>
    <w:rsid w:val="3AC25827"/>
    <w:rsid w:val="3BD1587E"/>
    <w:rsid w:val="3E411FC0"/>
    <w:rsid w:val="3EE45AE9"/>
    <w:rsid w:val="3FA44016"/>
    <w:rsid w:val="41E46210"/>
    <w:rsid w:val="44C17B24"/>
    <w:rsid w:val="45633267"/>
    <w:rsid w:val="45FF1F70"/>
    <w:rsid w:val="47CC2FC3"/>
    <w:rsid w:val="485E7096"/>
    <w:rsid w:val="49DF0B3D"/>
    <w:rsid w:val="4A36553F"/>
    <w:rsid w:val="4F8D54BC"/>
    <w:rsid w:val="4FC51739"/>
    <w:rsid w:val="518E703E"/>
    <w:rsid w:val="522D686F"/>
    <w:rsid w:val="53A07135"/>
    <w:rsid w:val="55BD2ACB"/>
    <w:rsid w:val="5614061B"/>
    <w:rsid w:val="56A43833"/>
    <w:rsid w:val="58C137E8"/>
    <w:rsid w:val="5BD35514"/>
    <w:rsid w:val="5EDD0467"/>
    <w:rsid w:val="5EE95987"/>
    <w:rsid w:val="60335BBD"/>
    <w:rsid w:val="66324BC3"/>
    <w:rsid w:val="675F57DF"/>
    <w:rsid w:val="68007A41"/>
    <w:rsid w:val="6A8E72C7"/>
    <w:rsid w:val="6B553996"/>
    <w:rsid w:val="6E301BF5"/>
    <w:rsid w:val="72F3011B"/>
    <w:rsid w:val="737B4F0C"/>
    <w:rsid w:val="76F05838"/>
    <w:rsid w:val="78556568"/>
    <w:rsid w:val="7A5C7525"/>
    <w:rsid w:val="7B8D195A"/>
    <w:rsid w:val="7F140D35"/>
    <w:rsid w:val="7FB73602"/>
    <w:rsid w:val="7FEE51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keepNext/>
      <w:keepLines/>
      <w:pageBreakBefore/>
      <w:autoSpaceDE w:val="0"/>
      <w:autoSpaceDN w:val="0"/>
      <w:adjustRightInd w:val="0"/>
      <w:spacing w:before="480" w:after="240"/>
      <w:jc w:val="center"/>
      <w:outlineLvl w:val="0"/>
    </w:pPr>
    <w:rPr>
      <w:rFonts w:ascii="Arial" w:hAnsi="Arial" w:eastAsia="黑体"/>
      <w:bCs/>
      <w:spacing w:val="40"/>
      <w:kern w:val="52"/>
      <w:sz w:val="36"/>
      <w:szCs w:val="44"/>
    </w:rPr>
  </w:style>
  <w:style w:type="paragraph" w:styleId="6">
    <w:name w:val="heading 2"/>
    <w:basedOn w:val="1"/>
    <w:next w:val="1"/>
    <w:qFormat/>
    <w:uiPriority w:val="0"/>
    <w:pPr>
      <w:keepNext/>
      <w:keepLines/>
      <w:autoSpaceDE w:val="0"/>
      <w:autoSpaceDN w:val="0"/>
      <w:adjustRightInd w:val="0"/>
      <w:spacing w:before="360" w:line="360" w:lineRule="auto"/>
      <w:jc w:val="left"/>
      <w:outlineLvl w:val="1"/>
    </w:pPr>
    <w:rPr>
      <w:rFonts w:ascii="Arial" w:hAnsi="Arial" w:eastAsia="黑体"/>
      <w:b/>
      <w:bCs/>
      <w:kern w:val="40"/>
      <w:sz w:val="28"/>
      <w:szCs w:val="32"/>
    </w:rPr>
  </w:style>
  <w:style w:type="paragraph" w:styleId="7">
    <w:name w:val="heading 3"/>
    <w:basedOn w:val="1"/>
    <w:next w:val="1"/>
    <w:qFormat/>
    <w:uiPriority w:val="0"/>
    <w:pPr>
      <w:keepNext/>
      <w:keepLines/>
      <w:autoSpaceDE w:val="0"/>
      <w:autoSpaceDN w:val="0"/>
      <w:adjustRightInd w:val="0"/>
      <w:spacing w:before="360" w:after="156" w:afterLines="50"/>
      <w:ind w:firstLine="480" w:firstLineChars="200"/>
      <w:jc w:val="left"/>
      <w:outlineLvl w:val="2"/>
    </w:pPr>
    <w:rPr>
      <w:rFonts w:ascii="Arial" w:hAnsi="Arial" w:eastAsia="黑体"/>
      <w:b/>
      <w:bCs/>
      <w:kern w:val="36"/>
      <w:sz w:val="24"/>
      <w:szCs w:val="32"/>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tabs>
        <w:tab w:val="left" w:pos="630"/>
      </w:tabs>
      <w:spacing w:after="120" w:line="360" w:lineRule="auto"/>
      <w:ind w:left="420" w:leftChars="200" w:firstLine="420"/>
    </w:pPr>
    <w:rPr>
      <w:kern w:val="0"/>
      <w:sz w:val="20"/>
      <w:szCs w:val="20"/>
    </w:rPr>
  </w:style>
  <w:style w:type="paragraph" w:styleId="3">
    <w:name w:val="Body Text Indent"/>
    <w:basedOn w:val="1"/>
    <w:next w:val="4"/>
    <w:qFormat/>
    <w:uiPriority w:val="0"/>
    <w:pPr>
      <w:ind w:firstLine="560" w:firstLineChars="200"/>
    </w:pPr>
    <w:rPr>
      <w:sz w:val="28"/>
    </w:rPr>
  </w:style>
  <w:style w:type="paragraph" w:styleId="4">
    <w:name w:val="Body Text Indent 2"/>
    <w:basedOn w:val="1"/>
    <w:qFormat/>
    <w:uiPriority w:val="0"/>
    <w:pPr>
      <w:ind w:firstLine="420" w:firstLineChars="150"/>
      <w:jc w:val="left"/>
    </w:pPr>
    <w:rPr>
      <w:rFonts w:ascii="宋体" w:hAnsi="宋体"/>
      <w:sz w:val="28"/>
    </w:rPr>
  </w:style>
  <w:style w:type="paragraph" w:styleId="8">
    <w:name w:val="annotation text"/>
    <w:basedOn w:val="1"/>
    <w:qFormat/>
    <w:uiPriority w:val="0"/>
    <w:pPr>
      <w:adjustRightInd w:val="0"/>
      <w:spacing w:line="360" w:lineRule="atLeast"/>
      <w:jc w:val="left"/>
      <w:textAlignment w:val="baseline"/>
    </w:pPr>
    <w:rPr>
      <w:kern w:val="0"/>
      <w:sz w:val="24"/>
      <w:szCs w:val="20"/>
    </w:rPr>
  </w:style>
  <w:style w:type="paragraph" w:styleId="9">
    <w:name w:val="toc 3"/>
    <w:basedOn w:val="1"/>
    <w:next w:val="1"/>
    <w:qFormat/>
    <w:uiPriority w:val="0"/>
    <w:pPr>
      <w:tabs>
        <w:tab w:val="right" w:leader="dot" w:pos="8820"/>
      </w:tabs>
      <w:spacing w:line="360" w:lineRule="auto"/>
      <w:ind w:left="359" w:leftChars="171" w:right="296" w:rightChars="141"/>
    </w:pPr>
  </w:style>
  <w:style w:type="paragraph" w:styleId="10">
    <w:name w:val="Plain Text"/>
    <w:basedOn w:val="1"/>
    <w:qFormat/>
    <w:uiPriority w:val="0"/>
    <w:rPr>
      <w:rFonts w:ascii="宋体" w:hAnsi="Courier New"/>
      <w:szCs w:val="20"/>
    </w:rPr>
  </w:style>
  <w:style w:type="paragraph" w:styleId="11">
    <w:name w:val="Balloon Text"/>
    <w:basedOn w:val="1"/>
    <w:link w:val="25"/>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tabs>
        <w:tab w:val="center" w:pos="4153"/>
        <w:tab w:val="right" w:pos="8306"/>
      </w:tabs>
      <w:snapToGrid w:val="0"/>
      <w:jc w:val="center"/>
    </w:pPr>
    <w:rPr>
      <w:sz w:val="18"/>
      <w:szCs w:val="18"/>
    </w:rPr>
  </w:style>
  <w:style w:type="paragraph" w:styleId="14">
    <w:name w:val="toc 1"/>
    <w:basedOn w:val="1"/>
    <w:next w:val="1"/>
    <w:qFormat/>
    <w:uiPriority w:val="0"/>
    <w:pPr>
      <w:tabs>
        <w:tab w:val="right" w:leader="dot" w:pos="8505"/>
      </w:tabs>
      <w:spacing w:line="480" w:lineRule="atLeast"/>
      <w:jc w:val="center"/>
    </w:pPr>
    <w:rPr>
      <w:bCs/>
      <w:sz w:val="18"/>
      <w:szCs w:val="18"/>
    </w:rPr>
  </w:style>
  <w:style w:type="paragraph" w:styleId="15">
    <w:name w:val="Normal (Web)"/>
    <w:basedOn w:val="1"/>
    <w:qFormat/>
    <w:uiPriority w:val="0"/>
    <w:pPr>
      <w:widowControl/>
      <w:spacing w:beforeAutospacing="1" w:afterAutospacing="1"/>
      <w:jc w:val="left"/>
    </w:pPr>
    <w:rPr>
      <w:rFonts w:ascii="宋体" w:hAnsi="宋体" w:eastAsia="仿宋_GB2312"/>
      <w:kern w:val="0"/>
      <w:sz w:val="24"/>
      <w:szCs w:val="32"/>
    </w:rPr>
  </w:style>
  <w:style w:type="paragraph" w:styleId="16">
    <w:name w:val="index 1"/>
    <w:basedOn w:val="1"/>
    <w:next w:val="1"/>
    <w:qFormat/>
    <w:uiPriority w:val="0"/>
    <w:pPr>
      <w:tabs>
        <w:tab w:val="left" w:pos="5670"/>
      </w:tabs>
      <w:spacing w:line="360" w:lineRule="auto"/>
      <w:ind w:right="420"/>
      <w:jc w:val="center"/>
    </w:pPr>
    <w:rPr>
      <w:rFonts w:ascii="宋体" w:hAnsi="宋体"/>
      <w:sz w:val="28"/>
      <w:szCs w:val="28"/>
    </w:rPr>
  </w:style>
  <w:style w:type="paragraph" w:styleId="17">
    <w:name w:val="Title"/>
    <w:basedOn w:val="1"/>
    <w:next w:val="1"/>
    <w:qFormat/>
    <w:uiPriority w:val="0"/>
    <w:pPr>
      <w:spacing w:before="240" w:after="60"/>
      <w:jc w:val="center"/>
      <w:outlineLvl w:val="0"/>
    </w:pPr>
    <w:rPr>
      <w:rFonts w:ascii="Cambria" w:hAnsi="Cambria"/>
      <w:b/>
      <w:sz w:val="32"/>
    </w:rPr>
  </w:style>
  <w:style w:type="character" w:styleId="20">
    <w:name w:val="page number"/>
    <w:basedOn w:val="19"/>
    <w:qFormat/>
    <w:uiPriority w:val="0"/>
    <w:rPr>
      <w:rFonts w:hint="default" w:ascii="Times New Roman" w:hAnsi="Calibri" w:eastAsia="宋体" w:cs="Times New Roman"/>
    </w:rPr>
  </w:style>
  <w:style w:type="paragraph" w:customStyle="1" w:styleId="21">
    <w:name w:val="样式2"/>
    <w:basedOn w:val="5"/>
    <w:qFormat/>
    <w:uiPriority w:val="0"/>
  </w:style>
  <w:style w:type="paragraph" w:customStyle="1" w:styleId="22">
    <w:name w:val="p0"/>
    <w:basedOn w:val="1"/>
    <w:qFormat/>
    <w:uiPriority w:val="0"/>
    <w:pPr>
      <w:widowControl/>
    </w:pPr>
    <w:rPr>
      <w:szCs w:val="21"/>
    </w:rPr>
  </w:style>
  <w:style w:type="character" w:customStyle="1" w:styleId="23">
    <w:name w:val="style31"/>
    <w:qFormat/>
    <w:uiPriority w:val="0"/>
    <w:rPr>
      <w:rFonts w:ascii="Calibri" w:hAnsi="Calibri" w:eastAsia="宋体" w:cs="Times New Roman"/>
      <w:sz w:val="21"/>
      <w:szCs w:val="21"/>
    </w:rPr>
  </w:style>
  <w:style w:type="paragraph" w:customStyle="1" w:styleId="24">
    <w:name w:val="正文-合同"/>
    <w:basedOn w:val="1"/>
    <w:qFormat/>
    <w:uiPriority w:val="0"/>
    <w:pPr>
      <w:autoSpaceDE w:val="0"/>
      <w:autoSpaceDN w:val="0"/>
      <w:adjustRightInd w:val="0"/>
      <w:spacing w:line="300" w:lineRule="auto"/>
      <w:ind w:firstLine="480" w:firstLineChars="200"/>
    </w:pPr>
    <w:rPr>
      <w:rFonts w:eastAsia="方正仿宋简体"/>
      <w:kern w:val="0"/>
      <w:sz w:val="24"/>
      <w:szCs w:val="20"/>
    </w:rPr>
  </w:style>
  <w:style w:type="character" w:customStyle="1" w:styleId="25">
    <w:name w:val="批注框文本 Char"/>
    <w:basedOn w:val="19"/>
    <w:link w:val="11"/>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emf"/><Relationship Id="rId17" Type="http://schemas.openxmlformats.org/officeDocument/2006/relationships/image" Target="media/image2.emf"/><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7360</Words>
  <Characters>41954</Characters>
  <Lines>349</Lines>
  <Paragraphs>98</Paragraphs>
  <TotalTime>1</TotalTime>
  <ScaleCrop>false</ScaleCrop>
  <LinksUpToDate>false</LinksUpToDate>
  <CharactersWithSpaces>49216</CharactersWithSpaces>
  <Application>WPS Office_11.1.0.8648_F1E327BC-269C-435d-A152-05C5408002CA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2019-06-03T06:48:00Z</dcterms:created>
  <dc:creator>ラ苹果味道的幸福べ</dc:creator>
  <cp:lastModifiedBy>Administrator</cp:lastModifiedBy>
  <cp:lastPrinted>2019-06-20T06:37:00Z</cp:lastPrinted>
  <dcterms:modified xsi:type="dcterms:W3CDTF">2019-06-24T05:08:54Z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2052-11.1.0.8648</vt:lpwstr>
  </property>
</Properties>
</file>