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超短期融资券承销商选聘项目报名登记表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6"/>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超短期融资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ascii="宋体" w:hAnsi="宋体" w:cs="宋体"/>
          <w:kern w:val="0"/>
          <w:sz w:val="24"/>
          <w:shd w:val="clear" w:color="auto" w:fill="FFFFFF"/>
        </w:rPr>
      </w:pP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6"/>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超短期融资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授权人名称（联合体成员四）（盖章）：</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pStyle w:val="2"/>
        <w:ind w:firstLine="400"/>
      </w:pPr>
    </w:p>
    <w:p>
      <w:pPr>
        <w:widowControl/>
        <w:shd w:val="clear" w:color="auto" w:fill="FFFFFF"/>
        <w:spacing w:line="6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6"/>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sz w:val="24"/>
          <w:shd w:val="clear" w:color="auto" w:fill="FFFFFF"/>
        </w:rPr>
      </w:pPr>
      <w:r>
        <w:rPr>
          <w:rFonts w:hint="eastAsia" w:ascii="宋体" w:hAnsi="宋体" w:cs="宋体"/>
          <w:sz w:val="24"/>
          <w:shd w:val="clear" w:color="auto" w:fill="FFFFFF"/>
        </w:rPr>
        <w:t>响应文件提交截止时间前提交响应文件的单位数量少于3家或在谈判过程中谈判小组根据谈判文件的规定作废标处理后，有效投标不足三个，则取消公开招标，当场转为谈判方式进行选聘（有效投标为两家则为竞争谈判，有效投标为一家则独家谈判）。有效投标人转为谈判对象，我司所有投标文件中声明、授权、承诺、盖章、签字等，对于谈判等其他方式采购仍然有效，发行人可按照谈判文件原有评审程序和评分细则进行评审，我司遵守株洲市城市建设发展集团有限公司相关规定，并无异议。</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本文件的解释权归属株洲市城市建设发展集团有限公司。</w:t>
      </w: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p>
    <w:p>
      <w:pPr>
        <w:pStyle w:val="2"/>
        <w:ind w:left="0" w:leftChars="0" w:firstLine="0" w:firstLineChars="0"/>
      </w:pPr>
      <w:r>
        <w:rPr>
          <w:rFonts w:hint="eastAsia"/>
        </w:rPr>
        <w:t>注：若为联合体形式参与本项目谈判的，则此承诺函须由联合体成员各方共同签字、盖章。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C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2020-12-21T07:50:02Z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