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685"/>
        <w:gridCol w:w="1068"/>
        <w:gridCol w:w="1039"/>
        <w:gridCol w:w="1096"/>
        <w:gridCol w:w="1264"/>
      </w:tblGrid>
      <w:tr w14:paraId="043E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0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清水塘1956文化创意产业园空铺信息表</w:t>
            </w:r>
            <w:bookmarkEnd w:id="0"/>
          </w:p>
        </w:tc>
      </w:tr>
      <w:tr w14:paraId="1E7D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坐落位置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楼栋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租赁面积（㎡）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交付标准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C5E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8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80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9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5B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32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D9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72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株洲市石峰区的清水塘1956文化创意产业园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61栋（原铅电解厂房）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约4990.28㎡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现状交付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可分割租赁，建筑租赁面积来源于《房产预测绘成果报告》，最终签约租赁面积以最终实测报告数据为准。</w:t>
            </w:r>
          </w:p>
        </w:tc>
      </w:tr>
      <w:tr w14:paraId="43475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株洲市石峰区的清水塘1956文化创意产业园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62栋顶层开放空间（原物资大楼）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约2458㎡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05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株洲市石峰区的清水塘1956文化创意产业园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62栋（原物资大楼）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约3816.33㎡ 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BF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株洲市石峰区的清水塘1956文化创意产业园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62栋（原物资大楼）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约1552.50㎡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52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株洲市石峰区的清水塘1956文化创意产业园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63栋（原铜熔炼厂房）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约3690.74㎡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8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A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株洲市石峰区的清水塘1956文化创意产业园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63栋半开放区（原铜熔炼厂房）</w:t>
            </w:r>
          </w:p>
        </w:tc>
        <w:tc>
          <w:tcPr>
            <w:tcW w:w="10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B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E4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株洲市石峰区的清水塘1956文化创意产业园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64栋（原设备闲置库）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约1202.05㎡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5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4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株洲市石峰区的清水塘1956文化创意产业园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66栋（砷烟灰库2）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约353.77㎡ 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8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D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建筑面积合计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约15605.67㎡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3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3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可拓展租赁区租赁面积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按实际面积计算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B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0FA2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74974"/>
    <w:rsid w:val="76F7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2025-11-14T02:46:00Z</dcterms:created>
  <dc:creator>无果</dc:creator>
  <cp:lastModifiedBy>无果</cp:lastModifiedBy>
  <dcterms:modified xsi:type="dcterms:W3CDTF">2025-11-14T02:47:21Z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E24FA7527F5C4D579D5CED326D7F26AD_11</vt:lpwstr>
  </property>
  <property fmtid="{D5CDD505-2E9C-101B-9397-08002B2CF9AE}" pid="4" name="KSOTemplateDocerSaveRecord">
    <vt:lpwstr>eyJoZGlkIjoiODJmZDkyYjAyODljZmRjODEyMDk3ZmExZjMwMTYwNGIiLCJ1c2VySWQiOiIyNTQ4NzA1NTkifQ==</vt:lpwstr>
  </property>
</Properties>
</file>